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CD" w:rsidRPr="009C2A7E" w:rsidRDefault="00866FCD" w:rsidP="00866FCD">
      <w:pPr>
        <w:spacing w:line="312" w:lineRule="auto"/>
        <w:ind w:firstLine="720"/>
        <w:jc w:val="center"/>
        <w:rPr>
          <w:rFonts w:cs="Times New Roman"/>
          <w:b/>
          <w:sz w:val="26"/>
          <w:szCs w:val="26"/>
          <w:lang w:val="ru-RU"/>
        </w:rPr>
      </w:pPr>
      <w:r w:rsidRPr="009C2A7E">
        <w:rPr>
          <w:rFonts w:cs="Times New Roman"/>
          <w:b/>
          <w:sz w:val="26"/>
          <w:szCs w:val="26"/>
          <w:lang w:val="ru-RU"/>
        </w:rPr>
        <w:t>ОТЧЁТ  О РАБОТЕ</w:t>
      </w:r>
    </w:p>
    <w:p w:rsidR="00866FCD" w:rsidRPr="009C2A7E" w:rsidRDefault="00866FCD" w:rsidP="00866FCD">
      <w:pPr>
        <w:spacing w:line="312" w:lineRule="auto"/>
        <w:ind w:firstLine="720"/>
        <w:jc w:val="center"/>
        <w:rPr>
          <w:rFonts w:cs="Times New Roman"/>
          <w:b/>
          <w:sz w:val="26"/>
          <w:szCs w:val="26"/>
          <w:lang w:val="ru-RU"/>
        </w:rPr>
      </w:pPr>
      <w:r w:rsidRPr="009C2A7E">
        <w:rPr>
          <w:rFonts w:cs="Times New Roman"/>
          <w:b/>
          <w:sz w:val="26"/>
          <w:szCs w:val="26"/>
          <w:lang w:val="ru-RU"/>
        </w:rPr>
        <w:t>КРОО «Коми республиканская ассоциация врачей»</w:t>
      </w:r>
    </w:p>
    <w:p w:rsidR="00866FCD" w:rsidRPr="0095422F" w:rsidRDefault="00866FCD" w:rsidP="00866FCD">
      <w:pPr>
        <w:spacing w:line="312" w:lineRule="auto"/>
        <w:ind w:firstLine="720"/>
        <w:jc w:val="center"/>
        <w:rPr>
          <w:rFonts w:cs="Times New Roman"/>
          <w:b/>
          <w:sz w:val="26"/>
          <w:szCs w:val="26"/>
          <w:lang w:val="ru-RU"/>
        </w:rPr>
      </w:pPr>
      <w:r w:rsidRPr="009C2A7E">
        <w:rPr>
          <w:rFonts w:cs="Times New Roman"/>
          <w:b/>
          <w:sz w:val="26"/>
          <w:szCs w:val="26"/>
          <w:lang w:val="ru-RU"/>
        </w:rPr>
        <w:t xml:space="preserve">за </w:t>
      </w:r>
      <w:r>
        <w:rPr>
          <w:rFonts w:cs="Times New Roman"/>
          <w:b/>
          <w:sz w:val="26"/>
          <w:szCs w:val="26"/>
          <w:lang w:val="ru-RU"/>
        </w:rPr>
        <w:t>2018 год</w:t>
      </w:r>
    </w:p>
    <w:p w:rsidR="00866FCD" w:rsidRPr="009C2A7E" w:rsidRDefault="00866FCD" w:rsidP="00866FCD">
      <w:pPr>
        <w:spacing w:line="312" w:lineRule="auto"/>
        <w:ind w:firstLine="720"/>
        <w:jc w:val="center"/>
        <w:rPr>
          <w:rFonts w:cs="Times New Roman"/>
          <w:b/>
          <w:sz w:val="26"/>
          <w:szCs w:val="26"/>
          <w:lang w:val="ru-RU"/>
        </w:rPr>
      </w:pPr>
      <w:r w:rsidRPr="009C2A7E">
        <w:rPr>
          <w:rFonts w:cs="Times New Roman"/>
          <w:b/>
          <w:sz w:val="26"/>
          <w:szCs w:val="26"/>
          <w:lang w:val="ru-RU"/>
        </w:rPr>
        <w:t>Общая информация</w:t>
      </w:r>
    </w:p>
    <w:p w:rsidR="00866FCD" w:rsidRPr="009C2A7E" w:rsidRDefault="00866FCD" w:rsidP="00866FCD">
      <w:pPr>
        <w:spacing w:line="312" w:lineRule="auto"/>
        <w:ind w:firstLine="720"/>
        <w:jc w:val="both"/>
        <w:rPr>
          <w:rFonts w:cs="Times New Roman"/>
          <w:sz w:val="26"/>
          <w:szCs w:val="26"/>
          <w:lang w:val="ru-RU"/>
        </w:rPr>
      </w:pPr>
      <w:r>
        <w:rPr>
          <w:rFonts w:cs="Times New Roman"/>
          <w:sz w:val="26"/>
          <w:szCs w:val="26"/>
          <w:lang w:val="ru-RU"/>
        </w:rPr>
        <w:t>На начало 201</w:t>
      </w:r>
      <w:r w:rsidRPr="00866FCD">
        <w:rPr>
          <w:rFonts w:cs="Times New Roman"/>
          <w:sz w:val="26"/>
          <w:szCs w:val="26"/>
          <w:lang w:val="ru-RU"/>
        </w:rPr>
        <w:t>9</w:t>
      </w:r>
      <w:r w:rsidRPr="009C2A7E">
        <w:rPr>
          <w:rFonts w:cs="Times New Roman"/>
          <w:sz w:val="26"/>
          <w:szCs w:val="26"/>
          <w:lang w:val="ru-RU"/>
        </w:rPr>
        <w:t xml:space="preserve"> года количество членов КРОО «</w:t>
      </w:r>
      <w:proofErr w:type="gramStart"/>
      <w:r w:rsidRPr="009C2A7E">
        <w:rPr>
          <w:rFonts w:cs="Times New Roman"/>
          <w:sz w:val="26"/>
          <w:szCs w:val="26"/>
          <w:lang w:val="ru-RU"/>
        </w:rPr>
        <w:t>КРАВ</w:t>
      </w:r>
      <w:proofErr w:type="gramEnd"/>
      <w:r w:rsidRPr="009C2A7E">
        <w:rPr>
          <w:rFonts w:cs="Times New Roman"/>
          <w:sz w:val="26"/>
          <w:szCs w:val="26"/>
          <w:lang w:val="ru-RU"/>
        </w:rPr>
        <w:t>» достигло</w:t>
      </w:r>
      <w:r w:rsidRPr="00FE7866">
        <w:rPr>
          <w:rFonts w:cs="Times New Roman"/>
          <w:sz w:val="26"/>
          <w:szCs w:val="26"/>
          <w:lang w:val="ru-RU"/>
        </w:rPr>
        <w:t xml:space="preserve"> </w:t>
      </w:r>
      <w:r w:rsidR="00FE7866" w:rsidRPr="00FE7866">
        <w:rPr>
          <w:rFonts w:cs="Times New Roman"/>
          <w:sz w:val="26"/>
          <w:szCs w:val="26"/>
          <w:lang w:val="ru-RU"/>
        </w:rPr>
        <w:t>1552</w:t>
      </w:r>
      <w:r w:rsidRPr="00FE7866">
        <w:rPr>
          <w:rFonts w:cs="Times New Roman"/>
          <w:sz w:val="26"/>
          <w:szCs w:val="26"/>
          <w:lang w:val="ru-RU"/>
        </w:rPr>
        <w:t xml:space="preserve"> </w:t>
      </w:r>
      <w:r w:rsidRPr="009C2A7E">
        <w:rPr>
          <w:rFonts w:cs="Times New Roman"/>
          <w:sz w:val="26"/>
          <w:szCs w:val="26"/>
          <w:lang w:val="ru-RU"/>
        </w:rPr>
        <w:t>человек</w:t>
      </w:r>
      <w:r w:rsidR="00FE7866">
        <w:rPr>
          <w:rFonts w:cs="Times New Roman"/>
          <w:sz w:val="26"/>
          <w:szCs w:val="26"/>
          <w:lang w:val="ru-RU"/>
        </w:rPr>
        <w:t>а (+36 членов)</w:t>
      </w:r>
      <w:r w:rsidRPr="009C2A7E">
        <w:rPr>
          <w:rFonts w:cs="Times New Roman"/>
          <w:sz w:val="26"/>
          <w:szCs w:val="26"/>
          <w:lang w:val="ru-RU"/>
        </w:rPr>
        <w:t>, что составляет 4</w:t>
      </w:r>
      <w:r w:rsidR="0095422F">
        <w:rPr>
          <w:rFonts w:cs="Times New Roman"/>
          <w:sz w:val="26"/>
          <w:szCs w:val="26"/>
          <w:lang w:val="ru-RU"/>
        </w:rPr>
        <w:t>4</w:t>
      </w:r>
      <w:r w:rsidRPr="009C2A7E">
        <w:rPr>
          <w:rFonts w:cs="Times New Roman"/>
          <w:sz w:val="26"/>
          <w:szCs w:val="26"/>
          <w:lang w:val="ru-RU"/>
        </w:rPr>
        <w:t xml:space="preserve">,7% от численности всех врачей Республики Коми и соответствует требованиям 76 статьи ФЗ №323 от 21.11.2012г. – более 25% от численности врачей региона. Соблюдение данного показателя позволяет проводить аккредитацию врачей в </w:t>
      </w:r>
      <w:proofErr w:type="gramStart"/>
      <w:r w:rsidRPr="009C2A7E">
        <w:rPr>
          <w:rFonts w:cs="Times New Roman"/>
          <w:sz w:val="26"/>
          <w:szCs w:val="26"/>
          <w:lang w:val="ru-RU"/>
        </w:rPr>
        <w:t>регионе</w:t>
      </w:r>
      <w:proofErr w:type="gramEnd"/>
      <w:r w:rsidRPr="009C2A7E">
        <w:rPr>
          <w:rFonts w:cs="Times New Roman"/>
          <w:sz w:val="26"/>
          <w:szCs w:val="26"/>
          <w:lang w:val="ru-RU"/>
        </w:rPr>
        <w:t xml:space="preserve"> (без выезда в окружные центры аккредитации), формировать республиканскую </w:t>
      </w:r>
      <w:proofErr w:type="spellStart"/>
      <w:r w:rsidRPr="009C2A7E">
        <w:rPr>
          <w:rFonts w:cs="Times New Roman"/>
          <w:sz w:val="26"/>
          <w:szCs w:val="26"/>
          <w:lang w:val="ru-RU"/>
        </w:rPr>
        <w:t>аккредитационную</w:t>
      </w:r>
      <w:proofErr w:type="spellEnd"/>
      <w:r w:rsidRPr="009C2A7E">
        <w:rPr>
          <w:rFonts w:cs="Times New Roman"/>
          <w:sz w:val="26"/>
          <w:szCs w:val="26"/>
          <w:lang w:val="ru-RU"/>
        </w:rPr>
        <w:t xml:space="preserve"> комиссию.</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Вступительного взноса в ассоциацию нет. Ежегодный членский взнос, утвержденный на общем собрании в 2014 году, сохраняется в размере 1200 рублей (или 100 рублей в месяц). </w:t>
      </w:r>
      <w:proofErr w:type="gramStart"/>
      <w:r w:rsidRPr="009C2A7E">
        <w:rPr>
          <w:rFonts w:cs="Times New Roman"/>
          <w:sz w:val="26"/>
          <w:szCs w:val="26"/>
          <w:lang w:val="ru-RU"/>
        </w:rPr>
        <w:t>Члены</w:t>
      </w:r>
      <w:proofErr w:type="gramEnd"/>
      <w:r w:rsidRPr="009C2A7E">
        <w:rPr>
          <w:rFonts w:cs="Times New Roman"/>
          <w:sz w:val="26"/>
          <w:szCs w:val="26"/>
          <w:lang w:val="ru-RU"/>
        </w:rPr>
        <w:t xml:space="preserve"> КРАВ перечисляют взносы самостоятельно или через бухгалтерию медицинских организаций.</w:t>
      </w:r>
    </w:p>
    <w:p w:rsidR="00866FCD" w:rsidRDefault="00866FCD" w:rsidP="00866FCD">
      <w:pPr>
        <w:spacing w:line="312" w:lineRule="auto"/>
        <w:ind w:firstLine="720"/>
        <w:jc w:val="center"/>
        <w:rPr>
          <w:rFonts w:cs="Times New Roman"/>
          <w:b/>
          <w:sz w:val="26"/>
          <w:szCs w:val="26"/>
          <w:lang w:val="ru-RU"/>
        </w:rPr>
      </w:pPr>
      <w:r w:rsidRPr="009C2A7E">
        <w:rPr>
          <w:rFonts w:cs="Times New Roman"/>
          <w:b/>
          <w:sz w:val="26"/>
          <w:szCs w:val="26"/>
          <w:lang w:val="ru-RU"/>
        </w:rPr>
        <w:t>Основные мероприятия</w:t>
      </w:r>
    </w:p>
    <w:p w:rsidR="00866FCD" w:rsidRPr="001F5220" w:rsidRDefault="00866FCD" w:rsidP="00866FCD">
      <w:pPr>
        <w:spacing w:line="312" w:lineRule="auto"/>
        <w:ind w:firstLine="720"/>
        <w:jc w:val="both"/>
        <w:rPr>
          <w:rFonts w:cs="Times New Roman"/>
          <w:sz w:val="26"/>
          <w:szCs w:val="26"/>
          <w:lang w:val="ru-RU"/>
        </w:rPr>
      </w:pPr>
      <w:r w:rsidRPr="001F5220">
        <w:rPr>
          <w:rFonts w:cs="Times New Roman"/>
          <w:sz w:val="26"/>
          <w:szCs w:val="26"/>
          <w:lang w:val="ru-RU"/>
        </w:rPr>
        <w:t xml:space="preserve">23 марта 2018 года проведено общее собрание </w:t>
      </w:r>
      <w:proofErr w:type="gramStart"/>
      <w:r w:rsidRPr="001F5220">
        <w:rPr>
          <w:rFonts w:cs="Times New Roman"/>
          <w:sz w:val="26"/>
          <w:szCs w:val="26"/>
          <w:lang w:val="ru-RU"/>
        </w:rPr>
        <w:t>КРАВ</w:t>
      </w:r>
      <w:proofErr w:type="gramEnd"/>
      <w:r w:rsidRPr="001F5220">
        <w:rPr>
          <w:rFonts w:cs="Times New Roman"/>
          <w:sz w:val="26"/>
          <w:szCs w:val="26"/>
          <w:lang w:val="ru-RU"/>
        </w:rPr>
        <w:t xml:space="preserve">, на котором выбран Президент – </w:t>
      </w:r>
      <w:proofErr w:type="spellStart"/>
      <w:r w:rsidRPr="001F5220">
        <w:rPr>
          <w:rFonts w:cs="Times New Roman"/>
          <w:sz w:val="26"/>
          <w:szCs w:val="26"/>
          <w:lang w:val="ru-RU"/>
        </w:rPr>
        <w:t>Сварич</w:t>
      </w:r>
      <w:proofErr w:type="spellEnd"/>
      <w:r w:rsidRPr="001F5220">
        <w:rPr>
          <w:rFonts w:cs="Times New Roman"/>
          <w:sz w:val="26"/>
          <w:szCs w:val="26"/>
          <w:lang w:val="ru-RU"/>
        </w:rPr>
        <w:t xml:space="preserve"> Вячеслав Гаврилович, д.м.н., заведующий отделением хирургии ГБУЗ РК «Республиканская детская клиническая больница»</w:t>
      </w:r>
      <w:r>
        <w:rPr>
          <w:rFonts w:cs="Times New Roman"/>
          <w:sz w:val="26"/>
          <w:szCs w:val="26"/>
          <w:lang w:val="ru-RU"/>
        </w:rPr>
        <w:t xml:space="preserve">. </w:t>
      </w:r>
      <w:proofErr w:type="gramStart"/>
      <w:r>
        <w:rPr>
          <w:rFonts w:cs="Times New Roman"/>
          <w:sz w:val="26"/>
          <w:szCs w:val="26"/>
          <w:lang w:val="ru-RU"/>
        </w:rPr>
        <w:t>Переизбраны</w:t>
      </w:r>
      <w:proofErr w:type="gramEnd"/>
      <w:r>
        <w:rPr>
          <w:rFonts w:cs="Times New Roman"/>
          <w:sz w:val="26"/>
          <w:szCs w:val="26"/>
          <w:lang w:val="ru-RU"/>
        </w:rPr>
        <w:t xml:space="preserve"> Вице-Президенты – С.А. Захарова и А.О. Марков, переизбран Совет КРАВ.</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В течение 2018 года членами Совета </w:t>
      </w:r>
      <w:proofErr w:type="gramStart"/>
      <w:r w:rsidRPr="009C2A7E">
        <w:rPr>
          <w:rFonts w:cs="Times New Roman"/>
          <w:sz w:val="26"/>
          <w:szCs w:val="26"/>
          <w:lang w:val="ru-RU"/>
        </w:rPr>
        <w:t>КРАВ</w:t>
      </w:r>
      <w:proofErr w:type="gramEnd"/>
      <w:r w:rsidRPr="009C2A7E">
        <w:rPr>
          <w:rFonts w:cs="Times New Roman"/>
          <w:sz w:val="26"/>
          <w:szCs w:val="26"/>
          <w:lang w:val="ru-RU"/>
        </w:rPr>
        <w:t xml:space="preserve"> и членами ассоциаци</w:t>
      </w:r>
      <w:r w:rsidR="009A7C8C">
        <w:rPr>
          <w:rFonts w:cs="Times New Roman"/>
          <w:sz w:val="26"/>
          <w:szCs w:val="26"/>
          <w:lang w:val="ru-RU"/>
        </w:rPr>
        <w:t>и принято участие более чем в 50</w:t>
      </w:r>
      <w:r w:rsidRPr="009C2A7E">
        <w:rPr>
          <w:rFonts w:cs="Times New Roman"/>
          <w:sz w:val="26"/>
          <w:szCs w:val="26"/>
          <w:lang w:val="ru-RU"/>
        </w:rPr>
        <w:t xml:space="preserve"> мероприятиях, в том числе:</w:t>
      </w:r>
    </w:p>
    <w:p w:rsidR="00866FCD" w:rsidRPr="009C2A7E" w:rsidRDefault="00866FCD" w:rsidP="00866FCD">
      <w:pPr>
        <w:spacing w:line="312" w:lineRule="auto"/>
        <w:ind w:firstLine="720"/>
        <w:jc w:val="both"/>
        <w:rPr>
          <w:rFonts w:cs="Times New Roman"/>
          <w:b/>
          <w:sz w:val="26"/>
          <w:szCs w:val="26"/>
          <w:lang w:val="ru-RU"/>
        </w:rPr>
      </w:pPr>
      <w:r w:rsidRPr="009C2A7E">
        <w:rPr>
          <w:rFonts w:cs="Times New Roman"/>
          <w:b/>
          <w:sz w:val="26"/>
          <w:szCs w:val="26"/>
          <w:lang w:val="ru-RU"/>
        </w:rPr>
        <w:t>на федеральном уровне</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Коллегия Минздрава РФ и Совещание представителей организаций – членов Национальной медицинской палаты (далее – НМП) 1 участник,</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учеба в Федеральном медицинском </w:t>
      </w:r>
      <w:proofErr w:type="gramStart"/>
      <w:r w:rsidRPr="009C2A7E">
        <w:rPr>
          <w:rFonts w:cs="Times New Roman"/>
          <w:sz w:val="26"/>
          <w:szCs w:val="26"/>
          <w:lang w:val="ru-RU"/>
        </w:rPr>
        <w:t>центре</w:t>
      </w:r>
      <w:proofErr w:type="gramEnd"/>
      <w:r w:rsidRPr="009C2A7E">
        <w:rPr>
          <w:rFonts w:cs="Times New Roman"/>
          <w:sz w:val="26"/>
          <w:szCs w:val="26"/>
          <w:lang w:val="ru-RU"/>
        </w:rPr>
        <w:t xml:space="preserve"> аккредитации (при МГМУ им. Сеченова)</w:t>
      </w:r>
      <w:r>
        <w:rPr>
          <w:rFonts w:cs="Times New Roman"/>
          <w:sz w:val="26"/>
          <w:szCs w:val="26"/>
          <w:lang w:val="ru-RU"/>
        </w:rPr>
        <w:t xml:space="preserve">, </w:t>
      </w:r>
      <w:r w:rsidRPr="009C2A7E">
        <w:rPr>
          <w:rFonts w:cs="Times New Roman"/>
          <w:sz w:val="26"/>
          <w:szCs w:val="26"/>
          <w:lang w:val="ru-RU"/>
        </w:rPr>
        <w:t xml:space="preserve">подготовка членов </w:t>
      </w:r>
      <w:proofErr w:type="spellStart"/>
      <w:r w:rsidRPr="009C2A7E">
        <w:rPr>
          <w:rFonts w:cs="Times New Roman"/>
          <w:sz w:val="26"/>
          <w:szCs w:val="26"/>
          <w:lang w:val="ru-RU"/>
        </w:rPr>
        <w:t>аккредитационных</w:t>
      </w:r>
      <w:proofErr w:type="spellEnd"/>
      <w:r w:rsidRPr="009C2A7E">
        <w:rPr>
          <w:rFonts w:cs="Times New Roman"/>
          <w:sz w:val="26"/>
          <w:szCs w:val="26"/>
          <w:lang w:val="ru-RU"/>
        </w:rPr>
        <w:t xml:space="preserve"> комиссий к допуску выпускников ВУЗов к профессии – 3 члена комиссии, участие в </w:t>
      </w:r>
      <w:r>
        <w:rPr>
          <w:rFonts w:cs="Times New Roman"/>
          <w:sz w:val="26"/>
          <w:szCs w:val="26"/>
          <w:lang w:val="ru-RU"/>
        </w:rPr>
        <w:t>«</w:t>
      </w:r>
      <w:r w:rsidRPr="009C2A7E">
        <w:rPr>
          <w:rFonts w:cs="Times New Roman"/>
          <w:sz w:val="26"/>
          <w:szCs w:val="26"/>
          <w:lang w:val="ru-RU"/>
        </w:rPr>
        <w:t>Неделе медицинского образования</w:t>
      </w:r>
      <w:r>
        <w:rPr>
          <w:rFonts w:cs="Times New Roman"/>
          <w:sz w:val="26"/>
          <w:szCs w:val="26"/>
          <w:lang w:val="ru-RU"/>
        </w:rPr>
        <w:t>»</w:t>
      </w:r>
      <w:r w:rsidRPr="009C2A7E">
        <w:rPr>
          <w:rFonts w:cs="Times New Roman"/>
          <w:sz w:val="26"/>
          <w:szCs w:val="26"/>
          <w:lang w:val="ru-RU"/>
        </w:rPr>
        <w:t xml:space="preserve"> – 1 участник,</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Конференция в НМП с участием председателя Следственного комитета РФ Александром </w:t>
      </w:r>
      <w:proofErr w:type="spellStart"/>
      <w:r w:rsidRPr="009C2A7E">
        <w:rPr>
          <w:rFonts w:cs="Times New Roman"/>
          <w:sz w:val="26"/>
          <w:szCs w:val="26"/>
          <w:lang w:val="ru-RU"/>
        </w:rPr>
        <w:t>Бастрыкиным</w:t>
      </w:r>
      <w:proofErr w:type="spellEnd"/>
      <w:r w:rsidRPr="009C2A7E">
        <w:rPr>
          <w:rFonts w:cs="Times New Roman"/>
          <w:sz w:val="26"/>
          <w:szCs w:val="26"/>
          <w:lang w:val="ru-RU"/>
        </w:rPr>
        <w:t xml:space="preserve"> – 1 участник,</w:t>
      </w:r>
    </w:p>
    <w:p w:rsidR="00866FCD" w:rsidRPr="009C2A7E" w:rsidRDefault="00866FCD" w:rsidP="00866FCD">
      <w:pPr>
        <w:spacing w:line="312" w:lineRule="auto"/>
        <w:ind w:firstLine="720"/>
        <w:jc w:val="both"/>
        <w:rPr>
          <w:rFonts w:cs="Times New Roman"/>
          <w:b/>
          <w:sz w:val="26"/>
          <w:szCs w:val="26"/>
          <w:lang w:val="ru-RU"/>
        </w:rPr>
      </w:pPr>
      <w:r w:rsidRPr="009C2A7E">
        <w:rPr>
          <w:rFonts w:cs="Times New Roman"/>
          <w:b/>
          <w:sz w:val="26"/>
          <w:szCs w:val="26"/>
          <w:lang w:val="ru-RU"/>
        </w:rPr>
        <w:t>на республиканском уровне</w:t>
      </w:r>
    </w:p>
    <w:p w:rsidR="00866FCD" w:rsidRPr="009C2A7E" w:rsidRDefault="00866FCD" w:rsidP="00866FCD">
      <w:pPr>
        <w:spacing w:line="312" w:lineRule="auto"/>
        <w:ind w:firstLine="720"/>
        <w:jc w:val="both"/>
        <w:rPr>
          <w:rFonts w:cs="Times New Roman"/>
          <w:sz w:val="26"/>
          <w:szCs w:val="26"/>
          <w:lang w:val="ru-RU"/>
        </w:rPr>
      </w:pPr>
      <w:r>
        <w:rPr>
          <w:rFonts w:cs="Times New Roman"/>
          <w:sz w:val="26"/>
          <w:szCs w:val="26"/>
          <w:lang w:val="ru-RU"/>
        </w:rPr>
        <w:t xml:space="preserve">- </w:t>
      </w:r>
      <w:r w:rsidRPr="00866FCD">
        <w:rPr>
          <w:rFonts w:cs="Times New Roman"/>
          <w:sz w:val="26"/>
          <w:szCs w:val="26"/>
          <w:lang w:val="ru-RU"/>
        </w:rPr>
        <w:t>4</w:t>
      </w:r>
      <w:r w:rsidRPr="009C2A7E">
        <w:rPr>
          <w:rFonts w:cs="Times New Roman"/>
          <w:sz w:val="26"/>
          <w:szCs w:val="26"/>
          <w:lang w:val="ru-RU"/>
        </w:rPr>
        <w:t xml:space="preserve"> встречи с министром здравоохранения Республики Коми, на которых обсуждались вопросы заработной платы, непрерывного медицинского образования, аккредитации,</w:t>
      </w:r>
    </w:p>
    <w:p w:rsidR="00866FCD" w:rsidRPr="009C2A7E" w:rsidRDefault="00866FCD" w:rsidP="00866FCD">
      <w:pPr>
        <w:spacing w:line="312" w:lineRule="auto"/>
        <w:ind w:firstLine="720"/>
        <w:jc w:val="both"/>
        <w:rPr>
          <w:rFonts w:cs="Times New Roman"/>
          <w:sz w:val="26"/>
          <w:szCs w:val="26"/>
          <w:lang w:val="ru-RU"/>
        </w:rPr>
      </w:pPr>
      <w:r>
        <w:rPr>
          <w:rFonts w:cs="Times New Roman"/>
          <w:sz w:val="26"/>
          <w:szCs w:val="26"/>
          <w:lang w:val="ru-RU"/>
        </w:rPr>
        <w:t xml:space="preserve">- </w:t>
      </w:r>
      <w:r w:rsidRPr="00866FCD">
        <w:rPr>
          <w:rFonts w:cs="Times New Roman"/>
          <w:sz w:val="26"/>
          <w:szCs w:val="26"/>
          <w:lang w:val="ru-RU"/>
        </w:rPr>
        <w:t>6</w:t>
      </w:r>
      <w:r w:rsidRPr="009C2A7E">
        <w:rPr>
          <w:rFonts w:cs="Times New Roman"/>
          <w:sz w:val="26"/>
          <w:szCs w:val="26"/>
          <w:lang w:val="ru-RU"/>
        </w:rPr>
        <w:t xml:space="preserve"> заседания Совета </w:t>
      </w:r>
      <w:proofErr w:type="gramStart"/>
      <w:r w:rsidRPr="009C2A7E">
        <w:rPr>
          <w:rFonts w:cs="Times New Roman"/>
          <w:sz w:val="26"/>
          <w:szCs w:val="26"/>
          <w:lang w:val="ru-RU"/>
        </w:rPr>
        <w:t>КРАВ</w:t>
      </w:r>
      <w:proofErr w:type="gramEnd"/>
      <w:r w:rsidRPr="009C2A7E">
        <w:rPr>
          <w:rFonts w:cs="Times New Roman"/>
          <w:sz w:val="26"/>
          <w:szCs w:val="26"/>
          <w:lang w:val="ru-RU"/>
        </w:rPr>
        <w:t xml:space="preserve"> по текущим вопросам,</w:t>
      </w:r>
    </w:p>
    <w:p w:rsidR="00866FCD" w:rsidRPr="009C2A7E" w:rsidRDefault="00866FCD" w:rsidP="00866FCD">
      <w:pPr>
        <w:spacing w:line="312" w:lineRule="auto"/>
        <w:ind w:firstLine="720"/>
        <w:jc w:val="both"/>
        <w:rPr>
          <w:rFonts w:cs="Times New Roman"/>
          <w:sz w:val="26"/>
          <w:szCs w:val="26"/>
          <w:lang w:val="ru-RU"/>
        </w:rPr>
      </w:pPr>
      <w:r>
        <w:rPr>
          <w:rFonts w:cs="Times New Roman"/>
          <w:sz w:val="26"/>
          <w:szCs w:val="26"/>
          <w:lang w:val="ru-RU"/>
        </w:rPr>
        <w:lastRenderedPageBreak/>
        <w:t xml:space="preserve">- </w:t>
      </w:r>
      <w:r w:rsidRPr="00866FCD">
        <w:rPr>
          <w:rFonts w:cs="Times New Roman"/>
          <w:sz w:val="26"/>
          <w:szCs w:val="26"/>
          <w:lang w:val="ru-RU"/>
        </w:rPr>
        <w:t>6</w:t>
      </w:r>
      <w:r w:rsidRPr="009C2A7E">
        <w:rPr>
          <w:rFonts w:cs="Times New Roman"/>
          <w:sz w:val="26"/>
          <w:szCs w:val="26"/>
          <w:lang w:val="ru-RU"/>
        </w:rPr>
        <w:t xml:space="preserve"> заседания Общественной палаты Республики Коми </w:t>
      </w:r>
      <w:r>
        <w:rPr>
          <w:rFonts w:cs="Times New Roman"/>
          <w:sz w:val="26"/>
          <w:szCs w:val="26"/>
          <w:lang w:val="ru-RU"/>
        </w:rPr>
        <w:t>(вопросы ОМС, Г</w:t>
      </w:r>
      <w:r w:rsidRPr="009C2A7E">
        <w:rPr>
          <w:rFonts w:cs="Times New Roman"/>
          <w:sz w:val="26"/>
          <w:szCs w:val="26"/>
          <w:lang w:val="ru-RU"/>
        </w:rPr>
        <w:t xml:space="preserve">од добровольца, общественное наблюдение на выборах, пути решения заболеваемости туберкулезом), </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участие </w:t>
      </w:r>
      <w:proofErr w:type="gramStart"/>
      <w:r w:rsidRPr="009C2A7E">
        <w:rPr>
          <w:rFonts w:cs="Times New Roman"/>
          <w:sz w:val="26"/>
          <w:szCs w:val="26"/>
          <w:lang w:val="ru-RU"/>
        </w:rPr>
        <w:t>членов</w:t>
      </w:r>
      <w:proofErr w:type="gramEnd"/>
      <w:r w:rsidRPr="009C2A7E">
        <w:rPr>
          <w:rFonts w:cs="Times New Roman"/>
          <w:sz w:val="26"/>
          <w:szCs w:val="26"/>
          <w:lang w:val="ru-RU"/>
        </w:rPr>
        <w:t xml:space="preserve"> КРАВ в общественном наблюдении  за ходом выборов в единый день голосования, а также участие в обеспечении процедуры голосования лиц, находящихся на лечении в медицинских организациях республики в день голосования,</w:t>
      </w:r>
    </w:p>
    <w:p w:rsidR="00866FCD" w:rsidRPr="009C2A7E" w:rsidRDefault="00866FCD" w:rsidP="00866FCD">
      <w:pPr>
        <w:spacing w:line="312" w:lineRule="auto"/>
        <w:ind w:firstLine="720"/>
        <w:jc w:val="both"/>
        <w:rPr>
          <w:rFonts w:cs="Times New Roman"/>
          <w:sz w:val="26"/>
          <w:szCs w:val="26"/>
          <w:lang w:val="ru-RU"/>
        </w:rPr>
      </w:pPr>
      <w:proofErr w:type="gramStart"/>
      <w:r>
        <w:rPr>
          <w:rFonts w:cs="Times New Roman"/>
          <w:sz w:val="26"/>
          <w:szCs w:val="26"/>
          <w:lang w:val="ru-RU"/>
        </w:rPr>
        <w:t>-</w:t>
      </w:r>
      <w:r w:rsidRPr="00866FCD">
        <w:rPr>
          <w:rFonts w:cs="Times New Roman"/>
          <w:sz w:val="26"/>
          <w:szCs w:val="26"/>
          <w:lang w:val="ru-RU"/>
        </w:rPr>
        <w:t>8</w:t>
      </w:r>
      <w:r w:rsidRPr="009C2A7E">
        <w:rPr>
          <w:rFonts w:cs="Times New Roman"/>
          <w:sz w:val="26"/>
          <w:szCs w:val="26"/>
          <w:lang w:val="ru-RU"/>
        </w:rPr>
        <w:t xml:space="preserve"> мероприятий Общественной приемной Главы Республики Коми (по мужскому здоровью, интернет-зависимости у детей, по безнадзорным собакам и их опасности для детей, о формах поддержки для семей с детьми для улучшения демографической обстановки, как летом «не подцепить» инфекцию), участие в Круглых столах «Лицом к пациенту», где была поднята проблема потребительского терроризма в отношении врачей, и Круглом столе по продолжительности жизни,</w:t>
      </w:r>
      <w:proofErr w:type="gramEnd"/>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Президент и члены Совета </w:t>
      </w:r>
      <w:proofErr w:type="gramStart"/>
      <w:r w:rsidRPr="009C2A7E">
        <w:rPr>
          <w:rFonts w:cs="Times New Roman"/>
          <w:sz w:val="26"/>
          <w:szCs w:val="26"/>
          <w:lang w:val="ru-RU"/>
        </w:rPr>
        <w:t>КРАВ</w:t>
      </w:r>
      <w:proofErr w:type="gramEnd"/>
      <w:r w:rsidRPr="009C2A7E">
        <w:rPr>
          <w:rFonts w:cs="Times New Roman"/>
          <w:sz w:val="26"/>
          <w:szCs w:val="26"/>
          <w:lang w:val="ru-RU"/>
        </w:rPr>
        <w:t xml:space="preserve"> принимают участие в Коллегиях Минздрава РК</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b/>
          <w:sz w:val="26"/>
          <w:szCs w:val="26"/>
          <w:lang w:val="ru-RU"/>
        </w:rPr>
        <w:t>во взаимодействии с Медицинским институтом СГУ им. Питирима Сорокина</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w:t>
      </w:r>
      <w:r>
        <w:rPr>
          <w:rFonts w:cs="Times New Roman"/>
          <w:sz w:val="26"/>
          <w:szCs w:val="26"/>
          <w:lang w:val="ru-RU"/>
        </w:rPr>
        <w:t xml:space="preserve">участие в </w:t>
      </w:r>
      <w:r w:rsidRPr="00866FCD">
        <w:rPr>
          <w:rFonts w:cs="Times New Roman"/>
          <w:sz w:val="26"/>
          <w:szCs w:val="26"/>
          <w:lang w:val="ru-RU"/>
        </w:rPr>
        <w:t>4</w:t>
      </w:r>
      <w:r w:rsidRPr="009C2A7E">
        <w:rPr>
          <w:rFonts w:cs="Times New Roman"/>
          <w:sz w:val="26"/>
          <w:szCs w:val="26"/>
          <w:lang w:val="ru-RU"/>
        </w:rPr>
        <w:t xml:space="preserve"> </w:t>
      </w:r>
      <w:proofErr w:type="gramStart"/>
      <w:r w:rsidRPr="009C2A7E">
        <w:rPr>
          <w:rFonts w:cs="Times New Roman"/>
          <w:sz w:val="26"/>
          <w:szCs w:val="26"/>
          <w:lang w:val="ru-RU"/>
        </w:rPr>
        <w:t>совещаниях</w:t>
      </w:r>
      <w:proofErr w:type="gramEnd"/>
      <w:r w:rsidRPr="009C2A7E">
        <w:rPr>
          <w:rFonts w:cs="Times New Roman"/>
          <w:sz w:val="26"/>
          <w:szCs w:val="26"/>
          <w:lang w:val="ru-RU"/>
        </w:rPr>
        <w:t xml:space="preserve"> по </w:t>
      </w:r>
      <w:r>
        <w:rPr>
          <w:rFonts w:cs="Times New Roman"/>
          <w:sz w:val="26"/>
          <w:szCs w:val="26"/>
          <w:lang w:val="ru-RU"/>
        </w:rPr>
        <w:t xml:space="preserve">проведению и по итогам </w:t>
      </w:r>
      <w:r w:rsidRPr="009C2A7E">
        <w:rPr>
          <w:rFonts w:cs="Times New Roman"/>
          <w:sz w:val="26"/>
          <w:szCs w:val="26"/>
          <w:lang w:val="ru-RU"/>
        </w:rPr>
        <w:t>аккредитации выпускников Медицинского института СГУ им. Питирима Сорокина,</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непосредственная подготовка и открытие </w:t>
      </w:r>
      <w:proofErr w:type="spellStart"/>
      <w:r w:rsidRPr="009C2A7E">
        <w:rPr>
          <w:rFonts w:cs="Times New Roman"/>
          <w:sz w:val="26"/>
          <w:szCs w:val="26"/>
          <w:lang w:val="ru-RU"/>
        </w:rPr>
        <w:t>Симуляционного</w:t>
      </w:r>
      <w:proofErr w:type="spellEnd"/>
      <w:r w:rsidRPr="009C2A7E">
        <w:rPr>
          <w:rFonts w:cs="Times New Roman"/>
          <w:sz w:val="26"/>
          <w:szCs w:val="26"/>
          <w:lang w:val="ru-RU"/>
        </w:rPr>
        <w:t xml:space="preserve"> центра на базе химико-биологического корпуса СГУ им. Питирима Сорокина,</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проведение аккредитации: прошли аккредитацию 20 выпускников 2018 года Медицинского института СГУ им. Питирима Сорокина и 1 выпускник КГМА 2017 года  (после декретного отпуска), в аккредитации принимали участие 13 врачей – членов </w:t>
      </w:r>
      <w:proofErr w:type="spellStart"/>
      <w:r w:rsidRPr="009C2A7E">
        <w:rPr>
          <w:rFonts w:cs="Times New Roman"/>
          <w:sz w:val="26"/>
          <w:szCs w:val="26"/>
          <w:lang w:val="ru-RU"/>
        </w:rPr>
        <w:t>аккредитационной</w:t>
      </w:r>
      <w:proofErr w:type="spellEnd"/>
      <w:r w:rsidRPr="009C2A7E">
        <w:rPr>
          <w:rFonts w:cs="Times New Roman"/>
          <w:sz w:val="26"/>
          <w:szCs w:val="26"/>
          <w:lang w:val="ru-RU"/>
        </w:rPr>
        <w:t xml:space="preserve"> комиссии,</w:t>
      </w:r>
    </w:p>
    <w:p w:rsidR="00866FCD" w:rsidRPr="00866FCD"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участие в </w:t>
      </w:r>
      <w:proofErr w:type="gramStart"/>
      <w:r w:rsidRPr="009C2A7E">
        <w:rPr>
          <w:rFonts w:cs="Times New Roman"/>
          <w:sz w:val="26"/>
          <w:szCs w:val="26"/>
          <w:lang w:val="ru-RU"/>
        </w:rPr>
        <w:t>качестве</w:t>
      </w:r>
      <w:proofErr w:type="gramEnd"/>
      <w:r w:rsidRPr="009C2A7E">
        <w:rPr>
          <w:rFonts w:cs="Times New Roman"/>
          <w:sz w:val="26"/>
          <w:szCs w:val="26"/>
          <w:lang w:val="ru-RU"/>
        </w:rPr>
        <w:t xml:space="preserve"> экспертов и руководителей научных работ студентов на конференции «Здоровье человека на Севере» в рамках </w:t>
      </w:r>
      <w:r w:rsidRPr="009C2A7E">
        <w:rPr>
          <w:rFonts w:cs="Times New Roman"/>
          <w:sz w:val="26"/>
          <w:szCs w:val="26"/>
        </w:rPr>
        <w:t>III</w:t>
      </w:r>
      <w:r w:rsidRPr="009C2A7E">
        <w:rPr>
          <w:rFonts w:cs="Times New Roman"/>
          <w:sz w:val="26"/>
          <w:szCs w:val="26"/>
          <w:lang w:val="ru-RU"/>
        </w:rPr>
        <w:t xml:space="preserve"> Всероссийской (</w:t>
      </w:r>
      <w:r w:rsidRPr="009C2A7E">
        <w:rPr>
          <w:rFonts w:cs="Times New Roman"/>
          <w:sz w:val="26"/>
          <w:szCs w:val="26"/>
        </w:rPr>
        <w:t>XVIII</w:t>
      </w:r>
      <w:r w:rsidRPr="009C2A7E">
        <w:rPr>
          <w:rFonts w:cs="Times New Roman"/>
          <w:sz w:val="26"/>
          <w:szCs w:val="26"/>
          <w:lang w:val="ru-RU"/>
        </w:rPr>
        <w:t>) молодежной научной конференции «Молодежь и наука на Севере»,</w:t>
      </w:r>
    </w:p>
    <w:p w:rsidR="00866FCD"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подготовлены темы для выпускных квалификационных работ студентам 6 курса на 2018-2019 годы,</w:t>
      </w:r>
    </w:p>
    <w:p w:rsidR="00866FCD" w:rsidRPr="009C2A7E" w:rsidRDefault="00866FCD" w:rsidP="00866FCD">
      <w:pPr>
        <w:spacing w:line="312" w:lineRule="auto"/>
        <w:ind w:firstLine="720"/>
        <w:jc w:val="both"/>
        <w:rPr>
          <w:rFonts w:cs="Times New Roman"/>
          <w:sz w:val="26"/>
          <w:szCs w:val="26"/>
          <w:lang w:val="ru-RU"/>
        </w:rPr>
      </w:pPr>
      <w:r>
        <w:rPr>
          <w:rFonts w:cs="Times New Roman"/>
          <w:sz w:val="26"/>
          <w:szCs w:val="26"/>
          <w:lang w:val="ru-RU"/>
        </w:rPr>
        <w:t xml:space="preserve">- подготовлен список тем для подготовки программ обучения в </w:t>
      </w:r>
      <w:proofErr w:type="gramStart"/>
      <w:r>
        <w:rPr>
          <w:rFonts w:cs="Times New Roman"/>
          <w:sz w:val="26"/>
          <w:szCs w:val="26"/>
          <w:lang w:val="ru-RU"/>
        </w:rPr>
        <w:t>рамках</w:t>
      </w:r>
      <w:proofErr w:type="gramEnd"/>
      <w:r>
        <w:rPr>
          <w:rFonts w:cs="Times New Roman"/>
          <w:sz w:val="26"/>
          <w:szCs w:val="26"/>
          <w:lang w:val="ru-RU"/>
        </w:rPr>
        <w:t xml:space="preserve"> непрерывного медицинского образования (НМО),</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- 3 члена </w:t>
      </w:r>
      <w:proofErr w:type="gramStart"/>
      <w:r w:rsidRPr="009C2A7E">
        <w:rPr>
          <w:rFonts w:cs="Times New Roman"/>
          <w:sz w:val="26"/>
          <w:szCs w:val="26"/>
          <w:lang w:val="ru-RU"/>
        </w:rPr>
        <w:t>КРАВ</w:t>
      </w:r>
      <w:proofErr w:type="gramEnd"/>
      <w:r w:rsidRPr="009C2A7E">
        <w:rPr>
          <w:rFonts w:cs="Times New Roman"/>
          <w:sz w:val="26"/>
          <w:szCs w:val="26"/>
          <w:lang w:val="ru-RU"/>
        </w:rPr>
        <w:t xml:space="preserve"> вошли в состав Локального этического комитета Мединститута СГУ им. Питирима Сорокина,</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 участие в научно-практических </w:t>
      </w:r>
      <w:proofErr w:type="gramStart"/>
      <w:r w:rsidRPr="009C2A7E">
        <w:rPr>
          <w:rFonts w:cs="Times New Roman"/>
          <w:sz w:val="26"/>
          <w:szCs w:val="26"/>
          <w:lang w:val="ru-RU"/>
        </w:rPr>
        <w:t>конференциях</w:t>
      </w:r>
      <w:proofErr w:type="gramEnd"/>
      <w:r w:rsidRPr="009C2A7E">
        <w:rPr>
          <w:rFonts w:cs="Times New Roman"/>
          <w:sz w:val="26"/>
          <w:szCs w:val="26"/>
          <w:lang w:val="ru-RU"/>
        </w:rPr>
        <w:t xml:space="preserve"> по различным профилям.</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Продолжаем осуществлять совместную деятельность с государственными и общественными структурами, где имеем своих представителей: Коми </w:t>
      </w:r>
      <w:r w:rsidRPr="009C2A7E">
        <w:rPr>
          <w:rFonts w:cs="Times New Roman"/>
          <w:sz w:val="26"/>
          <w:szCs w:val="26"/>
          <w:lang w:val="ru-RU"/>
        </w:rPr>
        <w:lastRenderedPageBreak/>
        <w:t xml:space="preserve">республиканская организация Профсоюза работников здравоохранения РФ, Территориальный ФОМС РК, Министерство здравоохранения Республики Коми (членство в комиссиях и советах), Общественный совет при Управлении </w:t>
      </w:r>
      <w:proofErr w:type="spellStart"/>
      <w:r w:rsidRPr="009C2A7E">
        <w:rPr>
          <w:rFonts w:cs="Times New Roman"/>
          <w:sz w:val="26"/>
          <w:szCs w:val="26"/>
          <w:lang w:val="ru-RU"/>
        </w:rPr>
        <w:t>Роспотребнадзора</w:t>
      </w:r>
      <w:proofErr w:type="spellEnd"/>
      <w:r w:rsidRPr="009C2A7E">
        <w:rPr>
          <w:rFonts w:cs="Times New Roman"/>
          <w:sz w:val="26"/>
          <w:szCs w:val="26"/>
          <w:lang w:val="ru-RU"/>
        </w:rPr>
        <w:t xml:space="preserve"> по РК, Росздравнадзора по РК, Медицинское православное общество Сыктывкарской и Воркутинской Епархии, Совет ветеранов  </w:t>
      </w:r>
      <w:proofErr w:type="spellStart"/>
      <w:r w:rsidRPr="009C2A7E">
        <w:rPr>
          <w:rFonts w:cs="Times New Roman"/>
          <w:sz w:val="26"/>
          <w:szCs w:val="26"/>
          <w:lang w:val="ru-RU"/>
        </w:rPr>
        <w:t>г</w:t>
      </w:r>
      <w:proofErr w:type="gramStart"/>
      <w:r w:rsidRPr="009C2A7E">
        <w:rPr>
          <w:rFonts w:cs="Times New Roman"/>
          <w:sz w:val="26"/>
          <w:szCs w:val="26"/>
          <w:lang w:val="ru-RU"/>
        </w:rPr>
        <w:t>.С</w:t>
      </w:r>
      <w:proofErr w:type="gramEnd"/>
      <w:r w:rsidRPr="009C2A7E">
        <w:rPr>
          <w:rFonts w:cs="Times New Roman"/>
          <w:sz w:val="26"/>
          <w:szCs w:val="26"/>
          <w:lang w:val="ru-RU"/>
        </w:rPr>
        <w:t>ыктывкара</w:t>
      </w:r>
      <w:proofErr w:type="spellEnd"/>
      <w:r w:rsidRPr="009C2A7E">
        <w:rPr>
          <w:rFonts w:cs="Times New Roman"/>
          <w:sz w:val="26"/>
          <w:szCs w:val="26"/>
          <w:lang w:val="ru-RU"/>
        </w:rPr>
        <w:t>, Союз женщин Республики Коми.</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Членами </w:t>
      </w:r>
      <w:proofErr w:type="gramStart"/>
      <w:r w:rsidRPr="009C2A7E">
        <w:rPr>
          <w:rFonts w:cs="Times New Roman"/>
          <w:sz w:val="26"/>
          <w:szCs w:val="26"/>
          <w:lang w:val="ru-RU"/>
        </w:rPr>
        <w:t>Совета</w:t>
      </w:r>
      <w:proofErr w:type="gramEnd"/>
      <w:r w:rsidRPr="009C2A7E">
        <w:rPr>
          <w:rFonts w:cs="Times New Roman"/>
          <w:sz w:val="26"/>
          <w:szCs w:val="26"/>
          <w:lang w:val="ru-RU"/>
        </w:rPr>
        <w:t xml:space="preserve"> КРАВ осуществляется разъяснительная работа в учреждениях, в том числе по НМО и аккредитации: проведены лекции в КРКБ, РДКБ, КРПЦ, РПТД (в </w:t>
      </w:r>
      <w:proofErr w:type="spellStart"/>
      <w:r w:rsidRPr="009C2A7E">
        <w:rPr>
          <w:rFonts w:cs="Times New Roman"/>
          <w:sz w:val="26"/>
          <w:szCs w:val="26"/>
          <w:lang w:val="ru-RU"/>
        </w:rPr>
        <w:t>т.ч</w:t>
      </w:r>
      <w:proofErr w:type="spellEnd"/>
      <w:r w:rsidRPr="009C2A7E">
        <w:rPr>
          <w:rFonts w:cs="Times New Roman"/>
          <w:sz w:val="26"/>
          <w:szCs w:val="26"/>
          <w:lang w:val="ru-RU"/>
        </w:rPr>
        <w:t xml:space="preserve">. с Воркутинским филиалом по Скайпу), в МСЧ МВД, Сыктывкарской поликлинике №3, Сыктывкарской детской поликлинике №1, </w:t>
      </w:r>
      <w:proofErr w:type="spellStart"/>
      <w:r w:rsidRPr="009C2A7E">
        <w:rPr>
          <w:rFonts w:cs="Times New Roman"/>
          <w:sz w:val="26"/>
          <w:szCs w:val="26"/>
          <w:lang w:val="ru-RU"/>
        </w:rPr>
        <w:t>Корткеросской</w:t>
      </w:r>
      <w:proofErr w:type="spellEnd"/>
      <w:r w:rsidRPr="009C2A7E">
        <w:rPr>
          <w:rFonts w:cs="Times New Roman"/>
          <w:sz w:val="26"/>
          <w:szCs w:val="26"/>
          <w:lang w:val="ru-RU"/>
        </w:rPr>
        <w:t xml:space="preserve"> ЦРБ.</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Организованы и проведены 2 </w:t>
      </w:r>
      <w:proofErr w:type="gramStart"/>
      <w:r w:rsidRPr="009C2A7E">
        <w:rPr>
          <w:rFonts w:cs="Times New Roman"/>
          <w:sz w:val="26"/>
          <w:szCs w:val="26"/>
          <w:lang w:val="ru-RU"/>
        </w:rPr>
        <w:t>учебы-лекции</w:t>
      </w:r>
      <w:proofErr w:type="gramEnd"/>
      <w:r w:rsidRPr="009C2A7E">
        <w:rPr>
          <w:rFonts w:cs="Times New Roman"/>
          <w:sz w:val="26"/>
          <w:szCs w:val="26"/>
          <w:lang w:val="ru-RU"/>
        </w:rPr>
        <w:t xml:space="preserve"> на которых слушателям зачислялись баллы в НМО (охват 90 врачей) и 1 мастер-класс. Организована Школа профессионального медицинского общения с приглашением сотрудника МГМУ им. Сеченова.</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В течение 6 месяцев 2018 года специалистами — членами </w:t>
      </w:r>
      <w:proofErr w:type="gramStart"/>
      <w:r w:rsidRPr="009C2A7E">
        <w:rPr>
          <w:rFonts w:cs="Times New Roman"/>
          <w:sz w:val="26"/>
          <w:szCs w:val="26"/>
          <w:lang w:val="ru-RU"/>
        </w:rPr>
        <w:t>КРАВ</w:t>
      </w:r>
      <w:proofErr w:type="gramEnd"/>
      <w:r w:rsidRPr="009C2A7E">
        <w:rPr>
          <w:rFonts w:cs="Times New Roman"/>
          <w:sz w:val="26"/>
          <w:szCs w:val="26"/>
          <w:lang w:val="ru-RU"/>
        </w:rPr>
        <w:t xml:space="preserve"> рассматривались проекты приказов МЗ РФ по утверждению Порядков оказания медицинской помощи, которые направлялись на согласование Н</w:t>
      </w:r>
      <w:r>
        <w:rPr>
          <w:rFonts w:cs="Times New Roman"/>
          <w:sz w:val="26"/>
          <w:szCs w:val="26"/>
          <w:lang w:val="ru-RU"/>
        </w:rPr>
        <w:t>МП</w:t>
      </w:r>
      <w:r w:rsidRPr="009C2A7E">
        <w:rPr>
          <w:rFonts w:cs="Times New Roman"/>
          <w:sz w:val="26"/>
          <w:szCs w:val="26"/>
          <w:lang w:val="ru-RU"/>
        </w:rPr>
        <w:t xml:space="preserve">. </w:t>
      </w:r>
      <w:r>
        <w:rPr>
          <w:rFonts w:cs="Times New Roman"/>
          <w:sz w:val="26"/>
          <w:szCs w:val="26"/>
          <w:lang w:val="ru-RU"/>
        </w:rPr>
        <w:t>На 20</w:t>
      </w:r>
      <w:r w:rsidRPr="009C2A7E">
        <w:rPr>
          <w:rFonts w:cs="Times New Roman"/>
          <w:sz w:val="26"/>
          <w:szCs w:val="26"/>
          <w:lang w:val="ru-RU"/>
        </w:rPr>
        <w:t xml:space="preserve"> посту</w:t>
      </w:r>
      <w:r>
        <w:rPr>
          <w:rFonts w:cs="Times New Roman"/>
          <w:sz w:val="26"/>
          <w:szCs w:val="26"/>
          <w:lang w:val="ru-RU"/>
        </w:rPr>
        <w:t>пивших проекта нами было дано 4</w:t>
      </w:r>
      <w:r w:rsidRPr="009C2A7E">
        <w:rPr>
          <w:rFonts w:cs="Times New Roman"/>
          <w:sz w:val="26"/>
          <w:szCs w:val="26"/>
          <w:lang w:val="ru-RU"/>
        </w:rPr>
        <w:t xml:space="preserve"> заключений (по остальным предложений не было). </w:t>
      </w:r>
    </w:p>
    <w:p w:rsidR="00866FCD" w:rsidRPr="009C2A7E" w:rsidRDefault="00866FCD" w:rsidP="00866FCD">
      <w:pPr>
        <w:spacing w:line="312" w:lineRule="auto"/>
        <w:ind w:firstLine="720"/>
        <w:jc w:val="both"/>
        <w:rPr>
          <w:rFonts w:cs="Times New Roman"/>
          <w:sz w:val="26"/>
          <w:szCs w:val="26"/>
          <w:lang w:val="ru-RU"/>
        </w:rPr>
      </w:pPr>
      <w:proofErr w:type="gramStart"/>
      <w:r w:rsidRPr="009C2A7E">
        <w:rPr>
          <w:rFonts w:cs="Times New Roman"/>
          <w:sz w:val="26"/>
          <w:szCs w:val="26"/>
          <w:lang w:val="ru-RU"/>
        </w:rPr>
        <w:t>Члены</w:t>
      </w:r>
      <w:proofErr w:type="gramEnd"/>
      <w:r w:rsidRPr="009C2A7E">
        <w:rPr>
          <w:rFonts w:cs="Times New Roman"/>
          <w:sz w:val="26"/>
          <w:szCs w:val="26"/>
          <w:lang w:val="ru-RU"/>
        </w:rPr>
        <w:t xml:space="preserve"> КРАВ приняли участие во всех научно-практических конференциях, организованных Министерством здравоохранения Республики Коми, Медицинским институтом СГУ.</w:t>
      </w:r>
    </w:p>
    <w:p w:rsidR="00866FCD" w:rsidRPr="009C2A7E" w:rsidRDefault="00866FCD" w:rsidP="00866FCD">
      <w:pPr>
        <w:spacing w:line="312" w:lineRule="auto"/>
        <w:ind w:firstLine="720"/>
        <w:jc w:val="both"/>
        <w:rPr>
          <w:rFonts w:cs="Times New Roman"/>
          <w:sz w:val="26"/>
          <w:szCs w:val="26"/>
          <w:lang w:val="ru-RU"/>
        </w:rPr>
      </w:pPr>
      <w:r w:rsidRPr="009C2A7E">
        <w:rPr>
          <w:rFonts w:cs="Times New Roman"/>
          <w:sz w:val="26"/>
          <w:szCs w:val="26"/>
          <w:lang w:val="ru-RU"/>
        </w:rPr>
        <w:t xml:space="preserve">Врачи-члены ассоциации активно проводят публичные лекции для населения республики в медицинских организациях, </w:t>
      </w:r>
      <w:r w:rsidR="008F4C26">
        <w:rPr>
          <w:rFonts w:cs="Times New Roman"/>
          <w:sz w:val="26"/>
          <w:szCs w:val="26"/>
          <w:lang w:val="ru-RU"/>
        </w:rPr>
        <w:t xml:space="preserve">в школах по профориентации, </w:t>
      </w:r>
      <w:r w:rsidRPr="009C2A7E">
        <w:rPr>
          <w:rFonts w:cs="Times New Roman"/>
          <w:sz w:val="26"/>
          <w:szCs w:val="26"/>
          <w:lang w:val="ru-RU"/>
        </w:rPr>
        <w:t xml:space="preserve">принято участие в телепрограммах на канале </w:t>
      </w:r>
      <w:proofErr w:type="spellStart"/>
      <w:r w:rsidRPr="009C2A7E">
        <w:rPr>
          <w:rFonts w:cs="Times New Roman"/>
          <w:sz w:val="26"/>
          <w:szCs w:val="26"/>
          <w:lang w:val="ru-RU"/>
        </w:rPr>
        <w:t>Юрган</w:t>
      </w:r>
      <w:proofErr w:type="spellEnd"/>
      <w:r w:rsidRPr="009C2A7E">
        <w:rPr>
          <w:rFonts w:cs="Times New Roman"/>
          <w:sz w:val="26"/>
          <w:szCs w:val="26"/>
          <w:lang w:val="ru-RU"/>
        </w:rPr>
        <w:t xml:space="preserve"> и в печатных СМИ.</w:t>
      </w:r>
    </w:p>
    <w:p w:rsidR="00866FCD" w:rsidRDefault="00866FCD" w:rsidP="00866FCD">
      <w:pPr>
        <w:spacing w:line="312" w:lineRule="auto"/>
        <w:ind w:firstLine="720"/>
        <w:jc w:val="both"/>
        <w:rPr>
          <w:rFonts w:cs="Times New Roman"/>
          <w:color w:val="000000"/>
          <w:sz w:val="26"/>
          <w:szCs w:val="26"/>
          <w:shd w:val="clear" w:color="auto" w:fill="FFFFFF"/>
          <w:lang w:val="ru-RU"/>
        </w:rPr>
      </w:pPr>
      <w:r w:rsidRPr="009C2A7E">
        <w:rPr>
          <w:rFonts w:cs="Times New Roman"/>
          <w:sz w:val="26"/>
          <w:szCs w:val="26"/>
          <w:lang w:val="ru-RU"/>
        </w:rPr>
        <w:t xml:space="preserve">Ассоциация врачей Республики Коми традиционно оказала финансовую и организационную поддержку в проведении торжественного заседания и вручении премии «Лучший врач года» Республики Коми, дня медицинского работника. На церемонии от КРАВ вручены 2 </w:t>
      </w:r>
      <w:proofErr w:type="gramStart"/>
      <w:r w:rsidRPr="009C2A7E">
        <w:rPr>
          <w:rFonts w:cs="Times New Roman"/>
          <w:sz w:val="26"/>
          <w:szCs w:val="26"/>
          <w:lang w:val="ru-RU"/>
        </w:rPr>
        <w:t>благодарственных</w:t>
      </w:r>
      <w:proofErr w:type="gramEnd"/>
      <w:r w:rsidRPr="009C2A7E">
        <w:rPr>
          <w:rFonts w:cs="Times New Roman"/>
          <w:sz w:val="26"/>
          <w:szCs w:val="26"/>
          <w:lang w:val="ru-RU"/>
        </w:rPr>
        <w:t xml:space="preserve"> письма и премии врачам (А.А. Керн и Г.А. Шарапову), работа Г.А. Шарапова была направлена на Всероссийский конкурс «Лучший врач года», где он занял 2 место. Оказана организационная и финансовая поддержка в </w:t>
      </w:r>
      <w:proofErr w:type="gramStart"/>
      <w:r w:rsidRPr="009C2A7E">
        <w:rPr>
          <w:rFonts w:cs="Times New Roman"/>
          <w:sz w:val="26"/>
          <w:szCs w:val="26"/>
          <w:lang w:val="ru-RU"/>
        </w:rPr>
        <w:t>проведении</w:t>
      </w:r>
      <w:proofErr w:type="gramEnd"/>
      <w:r w:rsidRPr="009C2A7E">
        <w:rPr>
          <w:rFonts w:cs="Times New Roman"/>
          <w:sz w:val="26"/>
          <w:szCs w:val="26"/>
          <w:lang w:val="ru-RU"/>
        </w:rPr>
        <w:t xml:space="preserve"> </w:t>
      </w:r>
      <w:r w:rsidRPr="009C2A7E">
        <w:rPr>
          <w:rFonts w:cs="Times New Roman"/>
          <w:sz w:val="26"/>
          <w:szCs w:val="26"/>
        </w:rPr>
        <w:t>VI</w:t>
      </w:r>
      <w:r w:rsidRPr="009C2A7E">
        <w:rPr>
          <w:rFonts w:cs="Times New Roman"/>
          <w:sz w:val="26"/>
          <w:szCs w:val="26"/>
          <w:lang w:val="ru-RU"/>
        </w:rPr>
        <w:t xml:space="preserve"> </w:t>
      </w:r>
      <w:r w:rsidRPr="009C2A7E">
        <w:rPr>
          <w:rFonts w:cs="Times New Roman"/>
          <w:color w:val="000000"/>
          <w:sz w:val="26"/>
          <w:szCs w:val="26"/>
          <w:shd w:val="clear" w:color="auto" w:fill="FFFFFF"/>
          <w:lang w:val="ru-RU"/>
        </w:rPr>
        <w:t>республиканских соревнований служб экстренной медицинской помощи.</w:t>
      </w:r>
    </w:p>
    <w:p w:rsidR="00904829" w:rsidRPr="009C2A7E" w:rsidRDefault="00904829" w:rsidP="00866FCD">
      <w:pPr>
        <w:spacing w:line="312" w:lineRule="auto"/>
        <w:ind w:firstLine="720"/>
        <w:jc w:val="both"/>
        <w:rPr>
          <w:rFonts w:cs="Times New Roman"/>
          <w:sz w:val="26"/>
          <w:szCs w:val="26"/>
          <w:lang w:val="ru-RU"/>
        </w:rPr>
      </w:pPr>
      <w:r>
        <w:rPr>
          <w:rFonts w:cs="Times New Roman"/>
          <w:color w:val="000000"/>
          <w:sz w:val="26"/>
          <w:szCs w:val="26"/>
          <w:shd w:val="clear" w:color="auto" w:fill="FFFFFF"/>
          <w:lang w:val="ru-RU"/>
        </w:rPr>
        <w:t xml:space="preserve">Проводится работа по поддержке физкультуры и спорта среди врачебного сообщества: команды </w:t>
      </w:r>
      <w:proofErr w:type="gramStart"/>
      <w:r>
        <w:rPr>
          <w:rFonts w:cs="Times New Roman"/>
          <w:color w:val="000000"/>
          <w:sz w:val="26"/>
          <w:szCs w:val="26"/>
          <w:shd w:val="clear" w:color="auto" w:fill="FFFFFF"/>
          <w:lang w:val="ru-RU"/>
        </w:rPr>
        <w:t>КРАВ</w:t>
      </w:r>
      <w:proofErr w:type="gramEnd"/>
      <w:r>
        <w:rPr>
          <w:rFonts w:cs="Times New Roman"/>
          <w:color w:val="000000"/>
          <w:sz w:val="26"/>
          <w:szCs w:val="26"/>
          <w:shd w:val="clear" w:color="auto" w:fill="FFFFFF"/>
          <w:lang w:val="ru-RU"/>
        </w:rPr>
        <w:t xml:space="preserve"> по мини-футболу и женской команды КРАВ по волейболу.</w:t>
      </w:r>
    </w:p>
    <w:p w:rsidR="00866FCD" w:rsidRPr="009C2A7E" w:rsidRDefault="00866FCD" w:rsidP="00866FCD">
      <w:pPr>
        <w:pStyle w:val="Standard"/>
        <w:spacing w:line="312" w:lineRule="auto"/>
        <w:jc w:val="center"/>
        <w:rPr>
          <w:rFonts w:cs="Times New Roman"/>
          <w:b/>
          <w:sz w:val="26"/>
          <w:szCs w:val="26"/>
          <w:lang w:val="ru-RU"/>
        </w:rPr>
      </w:pPr>
      <w:bookmarkStart w:id="0" w:name="_GoBack"/>
      <w:bookmarkEnd w:id="0"/>
      <w:r w:rsidRPr="009C2A7E">
        <w:rPr>
          <w:rFonts w:cs="Times New Roman"/>
          <w:b/>
          <w:sz w:val="26"/>
          <w:szCs w:val="26"/>
          <w:lang w:val="ru-RU"/>
        </w:rPr>
        <w:lastRenderedPageBreak/>
        <w:t>Памятник медикам войны.</w:t>
      </w:r>
    </w:p>
    <w:p w:rsidR="00866FCD" w:rsidRPr="009C2A7E" w:rsidRDefault="00866FCD" w:rsidP="00866FCD">
      <w:pPr>
        <w:pStyle w:val="Standard"/>
        <w:spacing w:line="312" w:lineRule="auto"/>
        <w:ind w:firstLine="706"/>
        <w:jc w:val="both"/>
        <w:rPr>
          <w:rFonts w:cs="Times New Roman"/>
          <w:sz w:val="26"/>
          <w:szCs w:val="26"/>
          <w:lang w:val="ru-RU"/>
        </w:rPr>
      </w:pPr>
      <w:r>
        <w:rPr>
          <w:rFonts w:cs="Times New Roman"/>
          <w:sz w:val="26"/>
          <w:szCs w:val="26"/>
          <w:lang w:val="ru-RU"/>
        </w:rPr>
        <w:t>Осуществлено</w:t>
      </w:r>
      <w:r w:rsidRPr="009C2A7E">
        <w:rPr>
          <w:rFonts w:cs="Times New Roman"/>
          <w:sz w:val="26"/>
          <w:szCs w:val="26"/>
          <w:lang w:val="ru-RU"/>
        </w:rPr>
        <w:t xml:space="preserve"> </w:t>
      </w:r>
      <w:r w:rsidR="0095556F">
        <w:rPr>
          <w:rFonts w:cs="Times New Roman"/>
          <w:sz w:val="26"/>
          <w:szCs w:val="26"/>
          <w:lang w:val="ru-RU"/>
        </w:rPr>
        <w:t xml:space="preserve">строительство </w:t>
      </w:r>
      <w:r w:rsidRPr="009C2A7E">
        <w:rPr>
          <w:rFonts w:cs="Times New Roman"/>
          <w:sz w:val="26"/>
          <w:szCs w:val="26"/>
          <w:lang w:val="ru-RU"/>
        </w:rPr>
        <w:t xml:space="preserve">памятника медикам войны. </w:t>
      </w:r>
      <w:proofErr w:type="gramStart"/>
      <w:r w:rsidR="0095556F">
        <w:rPr>
          <w:rFonts w:cs="Times New Roman"/>
          <w:sz w:val="26"/>
          <w:szCs w:val="26"/>
          <w:lang w:val="ru-RU"/>
        </w:rPr>
        <w:t>Проведена большая организационная работа: н</w:t>
      </w:r>
      <w:r w:rsidRPr="009C2A7E">
        <w:rPr>
          <w:rFonts w:cs="Times New Roman"/>
          <w:sz w:val="26"/>
          <w:szCs w:val="26"/>
          <w:lang w:val="ru-RU"/>
        </w:rPr>
        <w:t xml:space="preserve">аправлены документы в Совет по культуре и искусству при Главе РК для получения разрешения на строительства памятника, в том числе </w:t>
      </w:r>
      <w:r w:rsidRPr="009C2A7E">
        <w:rPr>
          <w:rFonts w:eastAsia="Times New Roman" w:cs="Times New Roman"/>
          <w:color w:val="00000A"/>
          <w:sz w:val="26"/>
          <w:szCs w:val="26"/>
          <w:lang w:val="ru-RU"/>
        </w:rPr>
        <w:t>историческая справка, к</w:t>
      </w:r>
      <w:r w:rsidRPr="009C2A7E">
        <w:rPr>
          <w:rFonts w:cs="Times New Roman"/>
          <w:sz w:val="26"/>
          <w:szCs w:val="26"/>
          <w:lang w:val="ru-RU"/>
        </w:rPr>
        <w:t>опии архивных документов, письменное предложение о месте установке памятника в сквере у Сыктывкарского медицинского колледжа им И.П. Морозова, по виду памятника, информация о собственнике земельного участка и его письменное согласие, письменное согласие выбранной</w:t>
      </w:r>
      <w:proofErr w:type="gramEnd"/>
      <w:r w:rsidRPr="009C2A7E">
        <w:rPr>
          <w:rFonts w:cs="Times New Roman"/>
          <w:sz w:val="26"/>
          <w:szCs w:val="26"/>
          <w:lang w:val="ru-RU"/>
        </w:rPr>
        <w:t xml:space="preserve"> формы увековечения Министерством строительства и дорожного хозяйства Республики Коми, информация о финансировании работ, расчет стоимости изготовления и установки памятника, письма о поддержке Министерства </w:t>
      </w:r>
      <w:r w:rsidRPr="009C2A7E">
        <w:rPr>
          <w:rFonts w:eastAsia="Times New Roman" w:cs="Times New Roman"/>
          <w:color w:val="00000A"/>
          <w:sz w:val="26"/>
          <w:szCs w:val="26"/>
          <w:lang w:val="ru-RU"/>
        </w:rPr>
        <w:t xml:space="preserve">образования, науки и молодежной политики Республики Коми </w:t>
      </w:r>
      <w:r w:rsidRPr="009C2A7E">
        <w:rPr>
          <w:rFonts w:cs="Times New Roman"/>
          <w:sz w:val="26"/>
          <w:szCs w:val="26"/>
          <w:lang w:val="ru-RU"/>
        </w:rPr>
        <w:t>и Министерства здравоохранения Республики Коми.</w:t>
      </w:r>
    </w:p>
    <w:p w:rsidR="0095556F" w:rsidRDefault="0095556F" w:rsidP="00866FCD">
      <w:pPr>
        <w:pStyle w:val="Standard"/>
        <w:spacing w:line="312" w:lineRule="auto"/>
        <w:ind w:firstLine="706"/>
        <w:jc w:val="both"/>
        <w:rPr>
          <w:rFonts w:cs="Times New Roman"/>
          <w:sz w:val="26"/>
          <w:szCs w:val="26"/>
          <w:lang w:val="ru-RU"/>
        </w:rPr>
      </w:pPr>
      <w:r>
        <w:rPr>
          <w:rFonts w:cs="Times New Roman"/>
          <w:sz w:val="26"/>
          <w:szCs w:val="26"/>
          <w:lang w:val="ru-RU"/>
        </w:rPr>
        <w:t xml:space="preserve">Общая </w:t>
      </w:r>
      <w:r w:rsidR="00FE7866">
        <w:rPr>
          <w:rFonts w:cs="Times New Roman"/>
          <w:sz w:val="26"/>
          <w:szCs w:val="26"/>
          <w:lang w:val="ru-RU"/>
        </w:rPr>
        <w:t xml:space="preserve">собранная и оплаченная сумма </w:t>
      </w:r>
      <w:r>
        <w:rPr>
          <w:rFonts w:cs="Times New Roman"/>
          <w:sz w:val="26"/>
          <w:szCs w:val="26"/>
          <w:lang w:val="ru-RU"/>
        </w:rPr>
        <w:t xml:space="preserve"> – 2 701 997,31 рублей,</w:t>
      </w:r>
    </w:p>
    <w:p w:rsidR="0095556F" w:rsidRDefault="0095556F" w:rsidP="00866FCD">
      <w:pPr>
        <w:pStyle w:val="Standard"/>
        <w:spacing w:line="312" w:lineRule="auto"/>
        <w:ind w:firstLine="706"/>
        <w:jc w:val="both"/>
        <w:rPr>
          <w:rFonts w:cs="Times New Roman"/>
          <w:sz w:val="26"/>
          <w:szCs w:val="26"/>
          <w:lang w:val="ru-RU"/>
        </w:rPr>
      </w:pPr>
      <w:r>
        <w:rPr>
          <w:rFonts w:cs="Times New Roman"/>
          <w:sz w:val="26"/>
          <w:szCs w:val="26"/>
          <w:lang w:val="ru-RU"/>
        </w:rPr>
        <w:t xml:space="preserve">В том числе спонсорская помощь от </w:t>
      </w:r>
      <w:r w:rsidR="00FE7866">
        <w:rPr>
          <w:rFonts w:cs="Times New Roman"/>
          <w:sz w:val="26"/>
          <w:szCs w:val="26"/>
          <w:lang w:val="ru-RU"/>
        </w:rPr>
        <w:t>Сбербанка России 1 000 000 рублей.</w:t>
      </w:r>
    </w:p>
    <w:p w:rsidR="00FE7866" w:rsidRDefault="00FE7866" w:rsidP="00866FCD">
      <w:pPr>
        <w:pStyle w:val="Standard"/>
        <w:spacing w:line="312" w:lineRule="auto"/>
        <w:ind w:firstLine="706"/>
        <w:jc w:val="both"/>
        <w:rPr>
          <w:rFonts w:cs="Times New Roman"/>
          <w:sz w:val="26"/>
          <w:szCs w:val="26"/>
          <w:lang w:val="ru-RU"/>
        </w:rPr>
      </w:pPr>
      <w:r>
        <w:rPr>
          <w:rFonts w:cs="Times New Roman"/>
          <w:sz w:val="26"/>
          <w:szCs w:val="26"/>
          <w:lang w:val="ru-RU"/>
        </w:rPr>
        <w:t>Открытие памятника состоялось 7 ноября 2018 года.</w:t>
      </w:r>
    </w:p>
    <w:p w:rsidR="00866FCD" w:rsidRPr="009C2A7E" w:rsidRDefault="00FE7866" w:rsidP="00866FCD">
      <w:pPr>
        <w:spacing w:line="312" w:lineRule="auto"/>
        <w:ind w:firstLine="720"/>
        <w:jc w:val="center"/>
        <w:rPr>
          <w:rFonts w:cs="Times New Roman"/>
          <w:b/>
          <w:sz w:val="26"/>
          <w:szCs w:val="26"/>
          <w:lang w:val="ru-RU"/>
        </w:rPr>
      </w:pPr>
      <w:r>
        <w:rPr>
          <w:rFonts w:cs="Times New Roman"/>
          <w:b/>
          <w:sz w:val="26"/>
          <w:szCs w:val="26"/>
          <w:lang w:val="ru-RU"/>
        </w:rPr>
        <w:br/>
      </w:r>
      <w:r w:rsidR="00866FCD" w:rsidRPr="009C2A7E">
        <w:rPr>
          <w:rFonts w:cs="Times New Roman"/>
          <w:b/>
          <w:sz w:val="26"/>
          <w:szCs w:val="26"/>
          <w:lang w:val="ru-RU"/>
        </w:rPr>
        <w:t>Аккредитация</w:t>
      </w:r>
    </w:p>
    <w:p w:rsidR="00866FCD" w:rsidRDefault="00866FCD" w:rsidP="00866FCD">
      <w:pPr>
        <w:spacing w:line="312" w:lineRule="auto"/>
        <w:ind w:firstLine="720"/>
        <w:jc w:val="both"/>
        <w:rPr>
          <w:rFonts w:cs="Times New Roman"/>
          <w:sz w:val="26"/>
          <w:szCs w:val="26"/>
          <w:lang w:val="ru-RU"/>
        </w:rPr>
      </w:pPr>
      <w:r>
        <w:rPr>
          <w:rFonts w:cs="Times New Roman"/>
          <w:sz w:val="26"/>
          <w:szCs w:val="26"/>
          <w:lang w:val="ru-RU"/>
        </w:rPr>
        <w:t xml:space="preserve">Для проведения аккредитации была разработана дорожная карта, в соответствии с которой была сформирована </w:t>
      </w:r>
      <w:proofErr w:type="spellStart"/>
      <w:r>
        <w:rPr>
          <w:rFonts w:cs="Times New Roman"/>
          <w:sz w:val="26"/>
          <w:szCs w:val="26"/>
          <w:lang w:val="ru-RU"/>
        </w:rPr>
        <w:t>аккредитационная</w:t>
      </w:r>
      <w:proofErr w:type="spellEnd"/>
      <w:r>
        <w:rPr>
          <w:rFonts w:cs="Times New Roman"/>
          <w:sz w:val="26"/>
          <w:szCs w:val="26"/>
          <w:lang w:val="ru-RU"/>
        </w:rPr>
        <w:t xml:space="preserve"> комиссия и подготовлен </w:t>
      </w:r>
      <w:proofErr w:type="spellStart"/>
      <w:r>
        <w:rPr>
          <w:rFonts w:cs="Times New Roman"/>
          <w:sz w:val="26"/>
          <w:szCs w:val="26"/>
          <w:lang w:val="ru-RU"/>
        </w:rPr>
        <w:t>Симуляционный</w:t>
      </w:r>
      <w:proofErr w:type="spellEnd"/>
      <w:r>
        <w:rPr>
          <w:rFonts w:cs="Times New Roman"/>
          <w:sz w:val="26"/>
          <w:szCs w:val="26"/>
          <w:lang w:val="ru-RU"/>
        </w:rPr>
        <w:t xml:space="preserve"> центр в СГУ им. Питирима Сорокина, на базе ТЦМК расположен и оборудован кабинет </w:t>
      </w:r>
      <w:proofErr w:type="spellStart"/>
      <w:r>
        <w:rPr>
          <w:rFonts w:cs="Times New Roman"/>
          <w:sz w:val="26"/>
          <w:szCs w:val="26"/>
          <w:lang w:val="ru-RU"/>
        </w:rPr>
        <w:t>аккредитационной</w:t>
      </w:r>
      <w:proofErr w:type="spellEnd"/>
      <w:r>
        <w:rPr>
          <w:rFonts w:cs="Times New Roman"/>
          <w:sz w:val="26"/>
          <w:szCs w:val="26"/>
          <w:lang w:val="ru-RU"/>
        </w:rPr>
        <w:t xml:space="preserve"> комиссии (в </w:t>
      </w:r>
      <w:proofErr w:type="spellStart"/>
      <w:r>
        <w:rPr>
          <w:rFonts w:cs="Times New Roman"/>
          <w:sz w:val="26"/>
          <w:szCs w:val="26"/>
          <w:lang w:val="ru-RU"/>
        </w:rPr>
        <w:t>т.ч</w:t>
      </w:r>
      <w:proofErr w:type="spellEnd"/>
      <w:r>
        <w:rPr>
          <w:rFonts w:cs="Times New Roman"/>
          <w:sz w:val="26"/>
          <w:szCs w:val="26"/>
          <w:lang w:val="ru-RU"/>
        </w:rPr>
        <w:t>. мебель получена от благотворителя – Теле</w:t>
      </w:r>
      <w:proofErr w:type="gramStart"/>
      <w:r>
        <w:rPr>
          <w:rFonts w:cs="Times New Roman"/>
          <w:sz w:val="26"/>
          <w:szCs w:val="26"/>
          <w:lang w:val="ru-RU"/>
        </w:rPr>
        <w:t>2</w:t>
      </w:r>
      <w:proofErr w:type="gramEnd"/>
      <w:r>
        <w:rPr>
          <w:rFonts w:cs="Times New Roman"/>
          <w:sz w:val="26"/>
          <w:szCs w:val="26"/>
          <w:lang w:val="ru-RU"/>
        </w:rPr>
        <w:t xml:space="preserve"> Коми). 3 члена </w:t>
      </w:r>
      <w:proofErr w:type="spellStart"/>
      <w:r>
        <w:rPr>
          <w:rFonts w:cs="Times New Roman"/>
          <w:sz w:val="26"/>
          <w:szCs w:val="26"/>
          <w:lang w:val="ru-RU"/>
        </w:rPr>
        <w:t>аккредитационной</w:t>
      </w:r>
      <w:proofErr w:type="spellEnd"/>
      <w:r>
        <w:rPr>
          <w:rFonts w:cs="Times New Roman"/>
          <w:sz w:val="26"/>
          <w:szCs w:val="26"/>
          <w:lang w:val="ru-RU"/>
        </w:rPr>
        <w:t xml:space="preserve"> комиссии прошли учебу в МГМУ им. Сеченова на базе ФМЦА.</w:t>
      </w:r>
    </w:p>
    <w:p w:rsidR="00866FCD" w:rsidRDefault="00866FCD" w:rsidP="00866FCD">
      <w:pPr>
        <w:spacing w:line="312" w:lineRule="auto"/>
        <w:ind w:firstLine="720"/>
        <w:jc w:val="both"/>
        <w:rPr>
          <w:rFonts w:cs="Times New Roman"/>
          <w:sz w:val="26"/>
          <w:szCs w:val="26"/>
          <w:lang w:val="ru-RU"/>
        </w:rPr>
      </w:pPr>
      <w:r>
        <w:rPr>
          <w:rFonts w:cs="Times New Roman"/>
          <w:sz w:val="26"/>
          <w:szCs w:val="26"/>
          <w:lang w:val="ru-RU"/>
        </w:rPr>
        <w:t xml:space="preserve">С февраля 2018 года было проведено 5 заседаний </w:t>
      </w:r>
      <w:proofErr w:type="spellStart"/>
      <w:r>
        <w:rPr>
          <w:rFonts w:cs="Times New Roman"/>
          <w:sz w:val="26"/>
          <w:szCs w:val="26"/>
          <w:lang w:val="ru-RU"/>
        </w:rPr>
        <w:t>аккредитационной</w:t>
      </w:r>
      <w:proofErr w:type="spellEnd"/>
      <w:r>
        <w:rPr>
          <w:rFonts w:cs="Times New Roman"/>
          <w:sz w:val="26"/>
          <w:szCs w:val="26"/>
          <w:lang w:val="ru-RU"/>
        </w:rPr>
        <w:t xml:space="preserve"> комиссии для подготовки к процедуре, и непосредственно сама аккредитация состоялась в период с 9 по 16 июля. Хочется отметить большую работу, проведенную членами комиссии, очень ответственный подход к организации и проведению процедуры, и выразить благодарность врачам – членам комиссии:</w:t>
      </w:r>
    </w:p>
    <w:tbl>
      <w:tblPr>
        <w:tblW w:w="10080" w:type="dxa"/>
        <w:tblInd w:w="93" w:type="dxa"/>
        <w:tblLook w:val="04A0" w:firstRow="1" w:lastRow="0" w:firstColumn="1" w:lastColumn="0" w:noHBand="0" w:noVBand="1"/>
      </w:tblPr>
      <w:tblGrid>
        <w:gridCol w:w="3134"/>
        <w:gridCol w:w="6946"/>
      </w:tblGrid>
      <w:tr w:rsidR="00866FCD" w:rsidRPr="00904829" w:rsidTr="00522F6C">
        <w:trPr>
          <w:trHeight w:val="563"/>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r w:rsidRPr="001F5220">
              <w:rPr>
                <w:rFonts w:ascii="Calibri" w:eastAsia="Times New Roman" w:hAnsi="Calibri" w:cs="Times New Roman"/>
                <w:color w:val="000000"/>
                <w:kern w:val="0"/>
                <w:lang w:val="ru-RU" w:eastAsia="ru-RU" w:bidi="ar-SA"/>
              </w:rPr>
              <w:t>Андронова Оксана Владимировна</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"Коми республиканская клиническая больница", врач-пульмонолог, врач-терапевт</w:t>
            </w:r>
          </w:p>
        </w:tc>
      </w:tr>
      <w:tr w:rsidR="00866FCD" w:rsidRPr="00904829" w:rsidTr="00522F6C">
        <w:trPr>
          <w:trHeight w:val="52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r w:rsidRPr="001F5220">
              <w:rPr>
                <w:rFonts w:ascii="Calibri" w:eastAsia="Times New Roman" w:hAnsi="Calibri" w:cs="Times New Roman"/>
                <w:color w:val="000000"/>
                <w:kern w:val="0"/>
                <w:lang w:val="ru-RU" w:eastAsia="ru-RU" w:bidi="ar-SA"/>
              </w:rPr>
              <w:t>Бабушкина Ирина Даниловна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"Сыктывкарская городская поликлиника №3", заместитель главного врача по ОМР, врач общей практики</w:t>
            </w:r>
          </w:p>
        </w:tc>
      </w:tr>
      <w:tr w:rsidR="00866FCD" w:rsidRPr="00904829" w:rsidTr="00522F6C">
        <w:trPr>
          <w:trHeight w:val="56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proofErr w:type="spellStart"/>
            <w:r w:rsidRPr="001F5220">
              <w:rPr>
                <w:rFonts w:ascii="Calibri" w:eastAsia="Times New Roman" w:hAnsi="Calibri" w:cs="Times New Roman"/>
                <w:color w:val="000000"/>
                <w:kern w:val="0"/>
                <w:lang w:val="ru-RU" w:eastAsia="ru-RU" w:bidi="ar-SA"/>
              </w:rPr>
              <w:t>Ветрова</w:t>
            </w:r>
            <w:proofErr w:type="spellEnd"/>
            <w:r w:rsidRPr="001F5220">
              <w:rPr>
                <w:rFonts w:ascii="Calibri" w:eastAsia="Times New Roman" w:hAnsi="Calibri" w:cs="Times New Roman"/>
                <w:color w:val="000000"/>
                <w:kern w:val="0"/>
                <w:lang w:val="ru-RU" w:eastAsia="ru-RU" w:bidi="ar-SA"/>
              </w:rPr>
              <w:t xml:space="preserve"> Ольга Андреевна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w:t>
            </w:r>
            <w:proofErr w:type="spellStart"/>
            <w:r w:rsidRPr="001F5220">
              <w:rPr>
                <w:rFonts w:ascii="Calibri" w:eastAsia="Times New Roman" w:hAnsi="Calibri" w:cs="Times New Roman"/>
                <w:color w:val="000000"/>
                <w:kern w:val="0"/>
                <w:sz w:val="22"/>
                <w:szCs w:val="22"/>
                <w:lang w:val="ru-RU" w:eastAsia="ru-RU" w:bidi="ar-SA"/>
              </w:rPr>
              <w:t>Эжвинская</w:t>
            </w:r>
            <w:proofErr w:type="spellEnd"/>
            <w:r w:rsidRPr="001F5220">
              <w:rPr>
                <w:rFonts w:ascii="Calibri" w:eastAsia="Times New Roman" w:hAnsi="Calibri" w:cs="Times New Roman"/>
                <w:color w:val="000000"/>
                <w:kern w:val="0"/>
                <w:sz w:val="22"/>
                <w:szCs w:val="22"/>
                <w:lang w:val="ru-RU" w:eastAsia="ru-RU" w:bidi="ar-SA"/>
              </w:rPr>
              <w:t xml:space="preserve"> городская поликлиника", врач-эндокринолог, врач-терапевт</w:t>
            </w:r>
          </w:p>
        </w:tc>
      </w:tr>
      <w:tr w:rsidR="00866FCD" w:rsidRPr="00904829" w:rsidTr="00522F6C">
        <w:trPr>
          <w:trHeight w:val="6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r w:rsidRPr="001F5220">
              <w:rPr>
                <w:rFonts w:ascii="Calibri" w:eastAsia="Times New Roman" w:hAnsi="Calibri" w:cs="Times New Roman"/>
                <w:color w:val="000000"/>
                <w:kern w:val="0"/>
                <w:lang w:val="ru-RU" w:eastAsia="ru-RU" w:bidi="ar-SA"/>
              </w:rPr>
              <w:t>Драгун Виктория Михайловна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"Территориальный центр медицины катастроф, заместитель главного врача по лечебной работе</w:t>
            </w:r>
          </w:p>
        </w:tc>
      </w:tr>
      <w:tr w:rsidR="00866FCD" w:rsidRPr="00904829" w:rsidTr="00522F6C">
        <w:trPr>
          <w:trHeight w:val="57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r w:rsidRPr="001F5220">
              <w:rPr>
                <w:rFonts w:ascii="Calibri" w:eastAsia="Times New Roman" w:hAnsi="Calibri" w:cs="Times New Roman"/>
                <w:color w:val="000000"/>
                <w:kern w:val="0"/>
                <w:lang w:val="ru-RU" w:eastAsia="ru-RU" w:bidi="ar-SA"/>
              </w:rPr>
              <w:t>Костина Юлия Юрьевна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"Центральная поликлиника г. Сыктывкара", заведующая отделением, врач-терапевт</w:t>
            </w:r>
          </w:p>
        </w:tc>
      </w:tr>
      <w:tr w:rsidR="00866FCD" w:rsidRPr="00904829" w:rsidTr="00522F6C">
        <w:trPr>
          <w:trHeight w:val="82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proofErr w:type="spellStart"/>
            <w:r w:rsidRPr="001F5220">
              <w:rPr>
                <w:rFonts w:ascii="Calibri" w:eastAsia="Times New Roman" w:hAnsi="Calibri" w:cs="Times New Roman"/>
                <w:color w:val="000000"/>
                <w:kern w:val="0"/>
                <w:lang w:val="ru-RU" w:eastAsia="ru-RU" w:bidi="ar-SA"/>
              </w:rPr>
              <w:lastRenderedPageBreak/>
              <w:t>Масляева</w:t>
            </w:r>
            <w:proofErr w:type="spellEnd"/>
            <w:r w:rsidRPr="001F5220">
              <w:rPr>
                <w:rFonts w:ascii="Calibri" w:eastAsia="Times New Roman" w:hAnsi="Calibri" w:cs="Times New Roman"/>
                <w:color w:val="000000"/>
                <w:kern w:val="0"/>
                <w:lang w:val="ru-RU" w:eastAsia="ru-RU" w:bidi="ar-SA"/>
              </w:rPr>
              <w:t xml:space="preserve"> Ирина Рюриковна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"Республиканский госпиталь ветеранов войн и участников боевых действий", заместитель главного врача по медицинской части, врач-терапевт</w:t>
            </w:r>
          </w:p>
        </w:tc>
      </w:tr>
      <w:tr w:rsidR="00866FCD" w:rsidRPr="001F5220" w:rsidTr="00522F6C">
        <w:trPr>
          <w:trHeight w:val="63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proofErr w:type="spellStart"/>
            <w:r w:rsidRPr="001F5220">
              <w:rPr>
                <w:rFonts w:ascii="Calibri" w:eastAsia="Times New Roman" w:hAnsi="Calibri" w:cs="Times New Roman"/>
                <w:color w:val="000000"/>
                <w:kern w:val="0"/>
                <w:lang w:val="ru-RU" w:eastAsia="ru-RU" w:bidi="ar-SA"/>
              </w:rPr>
              <w:t>Мингалёва</w:t>
            </w:r>
            <w:proofErr w:type="spellEnd"/>
            <w:r w:rsidRPr="001F5220">
              <w:rPr>
                <w:rFonts w:ascii="Calibri" w:eastAsia="Times New Roman" w:hAnsi="Calibri" w:cs="Times New Roman"/>
                <w:color w:val="000000"/>
                <w:kern w:val="0"/>
                <w:lang w:val="ru-RU" w:eastAsia="ru-RU" w:bidi="ar-SA"/>
              </w:rPr>
              <w:t xml:space="preserve"> Влада Владимировна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"Сыктывкарская городская поликлиника №3", заведующая отделением. Врач общей практики</w:t>
            </w:r>
          </w:p>
        </w:tc>
      </w:tr>
      <w:tr w:rsidR="00866FCD" w:rsidRPr="001F5220" w:rsidTr="00522F6C">
        <w:trPr>
          <w:trHeight w:val="557"/>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r w:rsidRPr="001F5220">
              <w:rPr>
                <w:rFonts w:ascii="Calibri" w:eastAsia="Times New Roman" w:hAnsi="Calibri" w:cs="Times New Roman"/>
                <w:color w:val="000000"/>
                <w:kern w:val="0"/>
                <w:lang w:val="ru-RU" w:eastAsia="ru-RU" w:bidi="ar-SA"/>
              </w:rPr>
              <w:t>Монастырева Раиса Васильевна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"Сыктывкарская городская поликлиника №3", заведующая хозрасчетным отделением. Врач-терапевт</w:t>
            </w:r>
          </w:p>
        </w:tc>
      </w:tr>
      <w:tr w:rsidR="00866FCD" w:rsidRPr="00904829" w:rsidTr="00522F6C">
        <w:trPr>
          <w:trHeight w:val="6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proofErr w:type="spellStart"/>
            <w:r w:rsidRPr="001F5220">
              <w:rPr>
                <w:rFonts w:ascii="Calibri" w:eastAsia="Times New Roman" w:hAnsi="Calibri" w:cs="Times New Roman"/>
                <w:color w:val="000000"/>
                <w:kern w:val="0"/>
                <w:lang w:val="ru-RU" w:eastAsia="ru-RU" w:bidi="ar-SA"/>
              </w:rPr>
              <w:t>Мушинский</w:t>
            </w:r>
            <w:proofErr w:type="spellEnd"/>
            <w:r w:rsidRPr="001F5220">
              <w:rPr>
                <w:rFonts w:ascii="Calibri" w:eastAsia="Times New Roman" w:hAnsi="Calibri" w:cs="Times New Roman"/>
                <w:color w:val="000000"/>
                <w:kern w:val="0"/>
                <w:lang w:val="ru-RU" w:eastAsia="ru-RU" w:bidi="ar-SA"/>
              </w:rPr>
              <w:t xml:space="preserve"> Андрей Витальевич</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"Сыктывкарская городская поликлиника №3", заведующий амбулаторией врача общей практики №2, врач общей практики</w:t>
            </w:r>
          </w:p>
        </w:tc>
      </w:tr>
      <w:tr w:rsidR="00866FCD" w:rsidRPr="00904829" w:rsidTr="00522F6C">
        <w:trPr>
          <w:trHeight w:val="5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r w:rsidRPr="001F5220">
              <w:rPr>
                <w:rFonts w:ascii="Calibri" w:eastAsia="Times New Roman" w:hAnsi="Calibri" w:cs="Times New Roman"/>
                <w:color w:val="000000"/>
                <w:kern w:val="0"/>
                <w:lang w:val="ru-RU" w:eastAsia="ru-RU" w:bidi="ar-SA"/>
              </w:rPr>
              <w:t>Третьякова Елена Егоровна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ФКУЗ "Медико-санитарная часть МВД России по Республике Коми", врач-кардиолог, врач-терапевт</w:t>
            </w:r>
          </w:p>
        </w:tc>
      </w:tr>
      <w:tr w:rsidR="00866FCD" w:rsidRPr="00904829" w:rsidTr="00522F6C">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proofErr w:type="spellStart"/>
            <w:r w:rsidRPr="001F5220">
              <w:rPr>
                <w:rFonts w:ascii="Calibri" w:eastAsia="Times New Roman" w:hAnsi="Calibri" w:cs="Times New Roman"/>
                <w:color w:val="000000"/>
                <w:kern w:val="0"/>
                <w:lang w:val="ru-RU" w:eastAsia="ru-RU" w:bidi="ar-SA"/>
              </w:rPr>
              <w:t>Тудос</w:t>
            </w:r>
            <w:proofErr w:type="spellEnd"/>
            <w:r w:rsidRPr="001F5220">
              <w:rPr>
                <w:rFonts w:ascii="Calibri" w:eastAsia="Times New Roman" w:hAnsi="Calibri" w:cs="Times New Roman"/>
                <w:color w:val="000000"/>
                <w:kern w:val="0"/>
                <w:lang w:val="ru-RU" w:eastAsia="ru-RU" w:bidi="ar-SA"/>
              </w:rPr>
              <w:t xml:space="preserve"> Нина Альбертовна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 xml:space="preserve">ГБУЗ РК "Городская больница </w:t>
            </w:r>
            <w:proofErr w:type="spellStart"/>
            <w:r w:rsidRPr="001F5220">
              <w:rPr>
                <w:rFonts w:ascii="Calibri" w:eastAsia="Times New Roman" w:hAnsi="Calibri" w:cs="Times New Roman"/>
                <w:color w:val="000000"/>
                <w:kern w:val="0"/>
                <w:sz w:val="22"/>
                <w:szCs w:val="22"/>
                <w:lang w:val="ru-RU" w:eastAsia="ru-RU" w:bidi="ar-SA"/>
              </w:rPr>
              <w:t>эжвинского</w:t>
            </w:r>
            <w:proofErr w:type="spellEnd"/>
            <w:r w:rsidRPr="001F5220">
              <w:rPr>
                <w:rFonts w:ascii="Calibri" w:eastAsia="Times New Roman" w:hAnsi="Calibri" w:cs="Times New Roman"/>
                <w:color w:val="000000"/>
                <w:kern w:val="0"/>
                <w:sz w:val="22"/>
                <w:szCs w:val="22"/>
                <w:lang w:val="ru-RU" w:eastAsia="ru-RU" w:bidi="ar-SA"/>
              </w:rPr>
              <w:t xml:space="preserve"> района", заведующая терапевтическим отделением, врач-терапевт</w:t>
            </w:r>
          </w:p>
        </w:tc>
      </w:tr>
      <w:tr w:rsidR="00866FCD" w:rsidRPr="00904829" w:rsidTr="00522F6C">
        <w:trPr>
          <w:trHeight w:val="562"/>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lang w:val="ru-RU" w:eastAsia="ru-RU" w:bidi="ar-SA"/>
              </w:rPr>
            </w:pPr>
            <w:r w:rsidRPr="001F5220">
              <w:rPr>
                <w:rFonts w:ascii="Calibri" w:eastAsia="Times New Roman" w:hAnsi="Calibri" w:cs="Times New Roman"/>
                <w:color w:val="000000"/>
                <w:kern w:val="0"/>
                <w:lang w:val="ru-RU" w:eastAsia="ru-RU" w:bidi="ar-SA"/>
              </w:rPr>
              <w:t>Ягупова Татьяна Анатольевна</w:t>
            </w:r>
          </w:p>
        </w:tc>
        <w:tc>
          <w:tcPr>
            <w:tcW w:w="6946" w:type="dxa"/>
            <w:tcBorders>
              <w:top w:val="nil"/>
              <w:left w:val="nil"/>
              <w:bottom w:val="single" w:sz="4" w:space="0" w:color="auto"/>
              <w:right w:val="single" w:sz="4" w:space="0" w:color="auto"/>
            </w:tcBorders>
            <w:shd w:val="clear" w:color="auto" w:fill="auto"/>
            <w:vAlign w:val="bottom"/>
            <w:hideMark/>
          </w:tcPr>
          <w:p w:rsidR="00866FCD" w:rsidRPr="001F5220" w:rsidRDefault="00866FCD" w:rsidP="00522F6C">
            <w:pPr>
              <w:widowControl/>
              <w:suppressAutoHyphens w:val="0"/>
              <w:autoSpaceDN/>
              <w:textAlignment w:val="auto"/>
              <w:rPr>
                <w:rFonts w:ascii="Calibri" w:eastAsia="Times New Roman" w:hAnsi="Calibri" w:cs="Times New Roman"/>
                <w:color w:val="000000"/>
                <w:kern w:val="0"/>
                <w:sz w:val="22"/>
                <w:szCs w:val="22"/>
                <w:lang w:val="ru-RU" w:eastAsia="ru-RU" w:bidi="ar-SA"/>
              </w:rPr>
            </w:pPr>
            <w:r w:rsidRPr="001F5220">
              <w:rPr>
                <w:rFonts w:ascii="Calibri" w:eastAsia="Times New Roman" w:hAnsi="Calibri" w:cs="Times New Roman"/>
                <w:color w:val="000000"/>
                <w:kern w:val="0"/>
                <w:sz w:val="22"/>
                <w:szCs w:val="22"/>
                <w:lang w:val="ru-RU" w:eastAsia="ru-RU" w:bidi="ar-SA"/>
              </w:rPr>
              <w:t>ГБУЗ РК "Коми республиканская клиническая больница". Заведующая отделением нефрологии, врач-нефролог</w:t>
            </w:r>
          </w:p>
        </w:tc>
      </w:tr>
    </w:tbl>
    <w:p w:rsidR="00FE7866" w:rsidRDefault="00FE7866">
      <w:pPr>
        <w:rPr>
          <w:lang w:val="ru-RU"/>
        </w:rPr>
      </w:pPr>
    </w:p>
    <w:p w:rsidR="00766F27" w:rsidRPr="00EC69D9" w:rsidRDefault="00FE7866" w:rsidP="00EC69D9">
      <w:pPr>
        <w:widowControl/>
        <w:suppressAutoHyphens w:val="0"/>
        <w:autoSpaceDN/>
        <w:spacing w:after="200" w:line="276" w:lineRule="auto"/>
        <w:jc w:val="center"/>
        <w:textAlignment w:val="auto"/>
        <w:rPr>
          <w:lang w:val="ru-RU"/>
        </w:rPr>
      </w:pPr>
      <w:r w:rsidRPr="00FE7866">
        <w:rPr>
          <w:b/>
          <w:lang w:val="ru-RU"/>
        </w:rPr>
        <w:t>Страхование профессиональной медицинской ответственности.</w:t>
      </w:r>
    </w:p>
    <w:p w:rsidR="00FE7866" w:rsidRPr="00EC69D9" w:rsidRDefault="00FE7866" w:rsidP="00FE7866">
      <w:pPr>
        <w:ind w:firstLine="567"/>
        <w:jc w:val="both"/>
        <w:rPr>
          <w:sz w:val="26"/>
          <w:szCs w:val="26"/>
          <w:lang w:val="ru-RU"/>
        </w:rPr>
      </w:pPr>
      <w:proofErr w:type="gramStart"/>
      <w:r w:rsidRPr="00EC69D9">
        <w:rPr>
          <w:sz w:val="26"/>
          <w:szCs w:val="26"/>
          <w:lang w:val="ru-RU"/>
        </w:rPr>
        <w:t>Члены</w:t>
      </w:r>
      <w:proofErr w:type="gramEnd"/>
      <w:r w:rsidRPr="00EC69D9">
        <w:rPr>
          <w:sz w:val="26"/>
          <w:szCs w:val="26"/>
          <w:lang w:val="ru-RU"/>
        </w:rPr>
        <w:t xml:space="preserve"> КРАВ, оплатившие членский взнос за 2018 год были застрахованы</w:t>
      </w:r>
      <w:r w:rsidR="00EC69D9" w:rsidRPr="00EC69D9">
        <w:rPr>
          <w:sz w:val="26"/>
          <w:szCs w:val="26"/>
          <w:lang w:val="ru-RU"/>
        </w:rPr>
        <w:t>, общий страховой взнос 372 500 рублей.</w:t>
      </w:r>
    </w:p>
    <w:p w:rsidR="00FE7866" w:rsidRPr="00EC69D9" w:rsidRDefault="00FE7866" w:rsidP="00AF1D88">
      <w:pPr>
        <w:ind w:firstLine="567"/>
        <w:jc w:val="both"/>
        <w:rPr>
          <w:b/>
          <w:sz w:val="26"/>
          <w:szCs w:val="26"/>
          <w:lang w:val="ru-RU"/>
        </w:rPr>
      </w:pPr>
      <w:r w:rsidRPr="00EC69D9">
        <w:rPr>
          <w:sz w:val="26"/>
          <w:szCs w:val="26"/>
          <w:lang w:val="ru-RU"/>
        </w:rPr>
        <w:t xml:space="preserve">Страховщик - Страховое публичное акционерное общество </w:t>
      </w:r>
      <w:r w:rsidRPr="00EC69D9">
        <w:rPr>
          <w:b/>
          <w:sz w:val="26"/>
          <w:szCs w:val="26"/>
          <w:lang w:val="ru-RU"/>
        </w:rPr>
        <w:t>«ИНГОССТРАХ»</w:t>
      </w:r>
    </w:p>
    <w:p w:rsidR="00AF1D88" w:rsidRPr="00EC69D9" w:rsidRDefault="00AF1D88" w:rsidP="00AF1D88">
      <w:pPr>
        <w:ind w:firstLine="567"/>
        <w:jc w:val="both"/>
        <w:rPr>
          <w:sz w:val="26"/>
          <w:szCs w:val="26"/>
          <w:lang w:val="ru-RU"/>
        </w:rPr>
      </w:pPr>
      <w:r w:rsidRPr="00EC69D9">
        <w:rPr>
          <w:sz w:val="26"/>
          <w:szCs w:val="26"/>
          <w:lang w:val="ru-RU"/>
        </w:rPr>
        <w:t>Список застрахованных врачей прилагается.</w:t>
      </w:r>
    </w:p>
    <w:p w:rsidR="00AF1D88" w:rsidRPr="00AF1D88" w:rsidRDefault="00AF1D88" w:rsidP="00AF1D88">
      <w:pPr>
        <w:ind w:firstLine="567"/>
        <w:jc w:val="both"/>
        <w:rPr>
          <w:b/>
          <w:lang w:val="ru-RU"/>
        </w:rPr>
      </w:pPr>
    </w:p>
    <w:tbl>
      <w:tblPr>
        <w:tblW w:w="9322" w:type="dxa"/>
        <w:tblLook w:val="01E0" w:firstRow="1" w:lastRow="1" w:firstColumn="1" w:lastColumn="1" w:noHBand="0" w:noVBand="0"/>
      </w:tblPr>
      <w:tblGrid>
        <w:gridCol w:w="9322"/>
      </w:tblGrid>
      <w:tr w:rsidR="00AF1D88" w:rsidRPr="00904829" w:rsidTr="00AF1D88">
        <w:tc>
          <w:tcPr>
            <w:tcW w:w="9322" w:type="dxa"/>
            <w:shd w:val="clear" w:color="auto" w:fill="auto"/>
          </w:tcPr>
          <w:p w:rsidR="00AF1D88" w:rsidRPr="00AF1D88" w:rsidRDefault="00AF1D88" w:rsidP="00AF1D88">
            <w:pPr>
              <w:jc w:val="both"/>
              <w:rPr>
                <w:sz w:val="18"/>
                <w:szCs w:val="18"/>
                <w:lang w:val="ru-RU"/>
              </w:rPr>
            </w:pPr>
            <w:r w:rsidRPr="00AF1D88">
              <w:rPr>
                <w:sz w:val="18"/>
                <w:szCs w:val="18"/>
                <w:lang w:val="ru-RU"/>
              </w:rPr>
              <w:t xml:space="preserve">5.1. </w:t>
            </w:r>
            <w:proofErr w:type="gramStart"/>
            <w:r w:rsidRPr="00AF1D88">
              <w:rPr>
                <w:sz w:val="18"/>
                <w:szCs w:val="18"/>
                <w:lang w:val="ru-RU"/>
              </w:rPr>
              <w:t>Под Застрахованной деятельностью по настоящему договору понимается врачебная (медицинская) деятельность, которая включает в себя выполнение медицинских работ и услуг в соответствии с перечнем видов деятельности, указанных в Лицензиях на право осуществления медицинской деятельности Застрахованных лиц.</w:t>
            </w:r>
            <w:proofErr w:type="gramEnd"/>
          </w:p>
          <w:p w:rsidR="00AF1D88" w:rsidRPr="00AF1D88" w:rsidRDefault="00AF1D88" w:rsidP="00AF1D88">
            <w:pPr>
              <w:jc w:val="both"/>
              <w:rPr>
                <w:sz w:val="10"/>
                <w:szCs w:val="10"/>
                <w:lang w:val="ru-RU"/>
              </w:rPr>
            </w:pPr>
          </w:p>
        </w:tc>
      </w:tr>
      <w:tr w:rsidR="00AF1D88" w:rsidRPr="00904829" w:rsidTr="00AF1D88">
        <w:tc>
          <w:tcPr>
            <w:tcW w:w="9322" w:type="dxa"/>
            <w:shd w:val="clear" w:color="auto" w:fill="auto"/>
          </w:tcPr>
          <w:p w:rsidR="00AF1D88" w:rsidRPr="00AF1D88" w:rsidRDefault="00AF1D88" w:rsidP="00AF1D88">
            <w:pPr>
              <w:jc w:val="both"/>
              <w:rPr>
                <w:sz w:val="18"/>
                <w:szCs w:val="18"/>
                <w:lang w:val="ru-RU"/>
              </w:rPr>
            </w:pPr>
            <w:r w:rsidRPr="00AF1D88">
              <w:rPr>
                <w:sz w:val="18"/>
                <w:szCs w:val="18"/>
                <w:lang w:val="ru-RU"/>
              </w:rPr>
              <w:t xml:space="preserve">6.1. Объектом страхования по настоящему Договору являются не противоречащие законодательству Российской Федерации имущественные интересы Застрахованных лиц, связанные </w:t>
            </w:r>
            <w:proofErr w:type="gramStart"/>
            <w:r w:rsidRPr="00AF1D88">
              <w:rPr>
                <w:sz w:val="18"/>
                <w:szCs w:val="18"/>
                <w:lang w:val="ru-RU"/>
              </w:rPr>
              <w:t>с</w:t>
            </w:r>
            <w:proofErr w:type="gramEnd"/>
            <w:r w:rsidRPr="00AF1D88">
              <w:rPr>
                <w:sz w:val="18"/>
                <w:szCs w:val="18"/>
                <w:lang w:val="ru-RU"/>
              </w:rPr>
              <w:t>:</w:t>
            </w:r>
          </w:p>
          <w:p w:rsidR="00AF1D88" w:rsidRPr="00AF1D88" w:rsidRDefault="00AF1D88" w:rsidP="00AF1D88">
            <w:pPr>
              <w:jc w:val="both"/>
              <w:rPr>
                <w:sz w:val="18"/>
                <w:szCs w:val="18"/>
                <w:lang w:val="ru-RU"/>
              </w:rPr>
            </w:pPr>
            <w:r w:rsidRPr="00AF1D88">
              <w:rPr>
                <w:sz w:val="18"/>
                <w:szCs w:val="18"/>
                <w:lang w:val="ru-RU"/>
              </w:rPr>
              <w:t>6.1.1. риском их ответственности по обязательствам, возникающим вследствие причинения вреда Третьим лицам при осуществлении Застрахованными лицами врачебной (медицинской) деятельности;</w:t>
            </w:r>
          </w:p>
          <w:p w:rsidR="00AF1D88" w:rsidRPr="00AF1D88" w:rsidRDefault="00AF1D88" w:rsidP="00AF1D88">
            <w:pPr>
              <w:jc w:val="both"/>
              <w:rPr>
                <w:sz w:val="18"/>
                <w:szCs w:val="18"/>
                <w:lang w:val="ru-RU"/>
              </w:rPr>
            </w:pPr>
            <w:r w:rsidRPr="00AF1D88">
              <w:rPr>
                <w:sz w:val="18"/>
                <w:szCs w:val="18"/>
                <w:lang w:val="ru-RU"/>
              </w:rPr>
              <w:t>6.1.2. несением согласованных со Страховщиком расходов на защиту, которые Застрахованное лицо понесло или должно будет понести в связи с предъявлением ему требований о возмещении вреда (имущественных претензий).</w:t>
            </w:r>
          </w:p>
          <w:p w:rsidR="00AF1D88" w:rsidRPr="00AF1D88" w:rsidRDefault="00AF1D88" w:rsidP="00AF1D88">
            <w:pPr>
              <w:jc w:val="both"/>
              <w:rPr>
                <w:sz w:val="10"/>
                <w:szCs w:val="10"/>
                <w:lang w:val="ru-RU"/>
              </w:rPr>
            </w:pPr>
          </w:p>
        </w:tc>
      </w:tr>
      <w:tr w:rsidR="00AF1D88" w:rsidRPr="00904829" w:rsidTr="00AF1D88">
        <w:tc>
          <w:tcPr>
            <w:tcW w:w="9322" w:type="dxa"/>
            <w:shd w:val="clear" w:color="auto" w:fill="auto"/>
          </w:tcPr>
          <w:p w:rsidR="00AF1D88" w:rsidRPr="00AF1D88" w:rsidRDefault="00AF1D88" w:rsidP="00AF1D88">
            <w:pPr>
              <w:jc w:val="both"/>
              <w:rPr>
                <w:sz w:val="18"/>
                <w:szCs w:val="18"/>
                <w:lang w:val="ru-RU"/>
              </w:rPr>
            </w:pPr>
            <w:r w:rsidRPr="00AF1D88">
              <w:rPr>
                <w:sz w:val="18"/>
                <w:szCs w:val="18"/>
                <w:lang w:val="ru-RU"/>
              </w:rPr>
              <w:t xml:space="preserve">7.1. Страховым случаем по настоящему Договору является возникновение обязанности Застрахованных лиц возместить вред, причиненный имущественным интересам Третьих лиц в результате непреднамеренных ошибок, упущений, допущенных Застрахованными лицами при осуществлении врачебной (медицинской) деятельности. </w:t>
            </w:r>
          </w:p>
          <w:p w:rsidR="00AF1D88" w:rsidRPr="00AF1D88" w:rsidRDefault="00AF1D88" w:rsidP="00AF1D88">
            <w:pPr>
              <w:jc w:val="both"/>
              <w:rPr>
                <w:sz w:val="10"/>
                <w:szCs w:val="10"/>
                <w:lang w:val="ru-RU"/>
              </w:rPr>
            </w:pPr>
          </w:p>
          <w:p w:rsidR="00AF1D88" w:rsidRPr="00AF1D88" w:rsidRDefault="00AF1D88" w:rsidP="00AF1D88">
            <w:pPr>
              <w:jc w:val="both"/>
              <w:rPr>
                <w:sz w:val="18"/>
                <w:szCs w:val="18"/>
                <w:lang w:val="ru-RU"/>
              </w:rPr>
            </w:pPr>
            <w:r w:rsidRPr="00AF1D88">
              <w:rPr>
                <w:sz w:val="18"/>
                <w:szCs w:val="18"/>
                <w:lang w:val="ru-RU"/>
              </w:rPr>
              <w:t>7.3. Страховой случай считается наступившим при соблюдении следующих условий:</w:t>
            </w:r>
          </w:p>
          <w:p w:rsidR="00AF1D88" w:rsidRPr="00AF1D88" w:rsidRDefault="00AF1D88" w:rsidP="00AF1D88">
            <w:pPr>
              <w:jc w:val="both"/>
              <w:rPr>
                <w:sz w:val="18"/>
                <w:szCs w:val="18"/>
                <w:lang w:val="ru-RU"/>
              </w:rPr>
            </w:pPr>
            <w:r w:rsidRPr="00AF1D88">
              <w:rPr>
                <w:sz w:val="18"/>
                <w:szCs w:val="18"/>
                <w:lang w:val="ru-RU"/>
              </w:rPr>
              <w:t xml:space="preserve">7.3.1. Обязанность по возмещению причиненного Третьим лицам вреда установлена на основании вступившего в законную силу решения (постановления) суда, определения об утверждении мирового соглашения, заключенного с письменного согласия Страховщика, либо на основании признанной с письменного согласия Страховщика </w:t>
            </w:r>
            <w:proofErr w:type="gramStart"/>
            <w:r w:rsidRPr="00AF1D88">
              <w:rPr>
                <w:sz w:val="18"/>
                <w:szCs w:val="18"/>
                <w:lang w:val="ru-RU"/>
              </w:rPr>
              <w:t>претензии</w:t>
            </w:r>
            <w:proofErr w:type="gramEnd"/>
            <w:r w:rsidRPr="00AF1D88">
              <w:rPr>
                <w:sz w:val="18"/>
                <w:szCs w:val="18"/>
                <w:lang w:val="ru-RU"/>
              </w:rPr>
              <w:t xml:space="preserve"> о возмещении причиненного Третьим лицам вреда.</w:t>
            </w:r>
          </w:p>
          <w:p w:rsidR="00AF1D88" w:rsidRPr="00AF1D88" w:rsidRDefault="00AF1D88" w:rsidP="00AF1D88">
            <w:pPr>
              <w:jc w:val="both"/>
              <w:rPr>
                <w:sz w:val="18"/>
                <w:szCs w:val="18"/>
                <w:lang w:val="ru-RU"/>
              </w:rPr>
            </w:pPr>
            <w:r w:rsidRPr="00AF1D88">
              <w:rPr>
                <w:sz w:val="18"/>
                <w:szCs w:val="18"/>
                <w:lang w:val="ru-RU"/>
              </w:rPr>
              <w:t xml:space="preserve">7.3.2. Имевший место случай не попадает ни под одно из исключений из страхового покрытия, перечисленных в </w:t>
            </w:r>
            <w:proofErr w:type="gramStart"/>
            <w:r w:rsidRPr="00AF1D88">
              <w:rPr>
                <w:sz w:val="18"/>
                <w:szCs w:val="18"/>
                <w:lang w:val="ru-RU"/>
              </w:rPr>
              <w:t>настоящем</w:t>
            </w:r>
            <w:proofErr w:type="gramEnd"/>
            <w:r w:rsidRPr="00AF1D88">
              <w:rPr>
                <w:sz w:val="18"/>
                <w:szCs w:val="18"/>
                <w:lang w:val="ru-RU"/>
              </w:rPr>
              <w:t xml:space="preserve"> Договоре.</w:t>
            </w:r>
          </w:p>
          <w:p w:rsidR="00AF1D88" w:rsidRPr="00AF1D88" w:rsidRDefault="00AF1D88" w:rsidP="00AF1D88">
            <w:pPr>
              <w:jc w:val="both"/>
              <w:rPr>
                <w:sz w:val="18"/>
                <w:szCs w:val="18"/>
                <w:lang w:val="ru-RU"/>
              </w:rPr>
            </w:pPr>
            <w:r w:rsidRPr="00AF1D88">
              <w:rPr>
                <w:sz w:val="18"/>
                <w:szCs w:val="18"/>
                <w:lang w:val="ru-RU"/>
              </w:rPr>
              <w:t>7.3.3. Причинение вреда имело место в течение периода страхования и/или ретроактивного периода.</w:t>
            </w:r>
          </w:p>
          <w:p w:rsidR="00AF1D88" w:rsidRPr="00AF1D88" w:rsidRDefault="00AF1D88" w:rsidP="00AF1D88">
            <w:pPr>
              <w:jc w:val="both"/>
              <w:rPr>
                <w:sz w:val="18"/>
                <w:szCs w:val="18"/>
                <w:lang w:val="ru-RU"/>
              </w:rPr>
            </w:pPr>
            <w:r w:rsidRPr="00AF1D88">
              <w:rPr>
                <w:sz w:val="18"/>
                <w:szCs w:val="18"/>
                <w:lang w:val="ru-RU"/>
              </w:rPr>
              <w:t xml:space="preserve">7.3.4. Непреднамеренная ошибка, упущение при осуществлении Застрахованной деятельности, приведшие к причинению вреда, были допущены врачами, указанными в Приложении №1 к настоящему Договору в течение периода страхования и/или ретроактивного периода. </w:t>
            </w:r>
          </w:p>
          <w:p w:rsidR="00AF1D88" w:rsidRPr="00AF1D88" w:rsidRDefault="00AF1D88" w:rsidP="00AF1D88">
            <w:pPr>
              <w:jc w:val="both"/>
              <w:rPr>
                <w:sz w:val="18"/>
                <w:szCs w:val="18"/>
                <w:lang w:val="ru-RU"/>
              </w:rPr>
            </w:pPr>
            <w:proofErr w:type="gramStart"/>
            <w:r w:rsidRPr="00AF1D88">
              <w:rPr>
                <w:sz w:val="18"/>
                <w:szCs w:val="18"/>
                <w:lang w:val="ru-RU"/>
              </w:rPr>
              <w:t>Причинение вреда и/или ошибка и/или упущение в течение ретроактивного периода будет являться страховым случаем при условии, что Застрахованное лицо на момент заключения договора страхования не знали о факте причинения вреда и/или о факте допущенной ошибки и/или упущения за прошедший период и не имели заявленных в связи с этим претензий от Третьих лиц.</w:t>
            </w:r>
            <w:proofErr w:type="gramEnd"/>
          </w:p>
          <w:p w:rsidR="00AF1D88" w:rsidRPr="00AF1D88" w:rsidRDefault="00AF1D88" w:rsidP="00AF1D88">
            <w:pPr>
              <w:jc w:val="both"/>
              <w:rPr>
                <w:sz w:val="18"/>
                <w:szCs w:val="18"/>
                <w:lang w:val="ru-RU"/>
              </w:rPr>
            </w:pPr>
            <w:r w:rsidRPr="00AF1D88">
              <w:rPr>
                <w:sz w:val="18"/>
                <w:szCs w:val="18"/>
                <w:lang w:val="ru-RU"/>
              </w:rPr>
              <w:t>7.3.5. Имеется причинно-следственная связь между допущенной ошибкой и/или упущением при осуществлении Застрахованной деятельности и причинением вреда.</w:t>
            </w:r>
          </w:p>
          <w:p w:rsidR="00AF1D88" w:rsidRPr="00AF1D88" w:rsidRDefault="00AF1D88" w:rsidP="00AF1D88">
            <w:pPr>
              <w:jc w:val="both"/>
              <w:rPr>
                <w:sz w:val="18"/>
                <w:szCs w:val="18"/>
                <w:lang w:val="ru-RU"/>
              </w:rPr>
            </w:pPr>
            <w:r w:rsidRPr="00AF1D88">
              <w:rPr>
                <w:sz w:val="18"/>
                <w:szCs w:val="18"/>
                <w:lang w:val="ru-RU"/>
              </w:rPr>
              <w:t>7.3.6. Требования (имущественные претензии) Третьих лиц о возмещении причиненного вреда впервые заявлены Застрахованному лицу в течение периода страхования.</w:t>
            </w:r>
          </w:p>
          <w:p w:rsidR="00AF1D88" w:rsidRPr="00FC3B11" w:rsidRDefault="00AF1D88" w:rsidP="00AF1D88">
            <w:pPr>
              <w:jc w:val="both"/>
              <w:rPr>
                <w:sz w:val="18"/>
                <w:szCs w:val="18"/>
                <w:lang w:val="ru-RU"/>
              </w:rPr>
            </w:pPr>
            <w:r w:rsidRPr="00AF1D88">
              <w:rPr>
                <w:sz w:val="18"/>
                <w:szCs w:val="18"/>
                <w:lang w:val="ru-RU"/>
              </w:rPr>
              <w:t>7.3.7. Требования (имущественные претензии) заявлены на территории Российской Федерации.</w:t>
            </w:r>
          </w:p>
          <w:p w:rsidR="00AF1D88" w:rsidRPr="00AF1D88" w:rsidRDefault="00AF1D88" w:rsidP="00AF1D88">
            <w:pPr>
              <w:jc w:val="both"/>
              <w:rPr>
                <w:sz w:val="18"/>
                <w:szCs w:val="18"/>
                <w:lang w:val="ru-RU"/>
              </w:rPr>
            </w:pPr>
            <w:r w:rsidRPr="00AF1D88">
              <w:rPr>
                <w:sz w:val="18"/>
                <w:szCs w:val="18"/>
                <w:lang w:val="ru-RU"/>
              </w:rPr>
              <w:t xml:space="preserve">7.4. </w:t>
            </w:r>
            <w:proofErr w:type="gramStart"/>
            <w:r w:rsidRPr="00AF1D88">
              <w:rPr>
                <w:sz w:val="18"/>
                <w:szCs w:val="18"/>
                <w:lang w:val="ru-RU"/>
              </w:rPr>
              <w:t xml:space="preserve">Страховым случаем также является возникновение у Застрахованного лица необходимости осуществления согласованных со Страховщиком расходов на оказание юридической помощи при ведении дел в судебных и арбитражных органах по предполагаемому случаю наступления гражданской ответственности, либо согласованных со Страховщиком расходов на оплату услуг экспертов и адвокатов, которые Застрахованное лицо вынуждено </w:t>
            </w:r>
            <w:r w:rsidRPr="00AF1D88">
              <w:rPr>
                <w:sz w:val="18"/>
                <w:szCs w:val="18"/>
                <w:lang w:val="ru-RU"/>
              </w:rPr>
              <w:lastRenderedPageBreak/>
              <w:t>произвести в результате предъявления ему имущественных претензий по предполагаемым страховым случаям при условии</w:t>
            </w:r>
            <w:proofErr w:type="gramEnd"/>
            <w:r w:rsidRPr="00AF1D88">
              <w:rPr>
                <w:sz w:val="18"/>
                <w:szCs w:val="18"/>
                <w:lang w:val="ru-RU"/>
              </w:rPr>
              <w:t>, что:</w:t>
            </w:r>
          </w:p>
          <w:p w:rsidR="00AF1D88" w:rsidRPr="00AF1D88" w:rsidRDefault="00AF1D88" w:rsidP="00AF1D88">
            <w:pPr>
              <w:jc w:val="both"/>
              <w:rPr>
                <w:sz w:val="18"/>
                <w:szCs w:val="18"/>
                <w:lang w:val="ru-RU"/>
              </w:rPr>
            </w:pPr>
            <w:r w:rsidRPr="00AF1D88">
              <w:rPr>
                <w:sz w:val="18"/>
                <w:szCs w:val="18"/>
                <w:lang w:val="ru-RU"/>
              </w:rPr>
              <w:t xml:space="preserve">7.4.1. Имущественные претензии предъявлены в </w:t>
            </w:r>
            <w:proofErr w:type="gramStart"/>
            <w:r w:rsidRPr="00AF1D88">
              <w:rPr>
                <w:sz w:val="18"/>
                <w:szCs w:val="18"/>
                <w:lang w:val="ru-RU"/>
              </w:rPr>
              <w:t>результате</w:t>
            </w:r>
            <w:proofErr w:type="gramEnd"/>
            <w:r w:rsidRPr="00AF1D88">
              <w:rPr>
                <w:sz w:val="18"/>
                <w:szCs w:val="18"/>
                <w:lang w:val="ru-RU"/>
              </w:rPr>
              <w:t xml:space="preserve"> ошибок, упущений, допущенных Застрахованным лицом при осуществлении им Застрахованной деятельности.</w:t>
            </w:r>
          </w:p>
          <w:p w:rsidR="00AF1D88" w:rsidRPr="00FC3B11" w:rsidRDefault="00AF1D88" w:rsidP="00AF1D88">
            <w:pPr>
              <w:jc w:val="both"/>
              <w:rPr>
                <w:sz w:val="18"/>
                <w:szCs w:val="18"/>
                <w:lang w:val="ru-RU"/>
              </w:rPr>
            </w:pPr>
            <w:r w:rsidRPr="00AF1D88">
              <w:rPr>
                <w:sz w:val="18"/>
                <w:szCs w:val="18"/>
                <w:lang w:val="ru-RU"/>
              </w:rPr>
              <w:t>7.4.2. Расходы на защиту при ведении дел в судебных органах, включая расходы на оплату экспертов и адвокатов, произведены во исполнение письменных указаний Страховщика или с его письменного согласия.</w:t>
            </w:r>
          </w:p>
        </w:tc>
      </w:tr>
      <w:tr w:rsidR="00AF1D88" w:rsidRPr="00904829" w:rsidTr="00AF1D88">
        <w:tc>
          <w:tcPr>
            <w:tcW w:w="9322" w:type="dxa"/>
            <w:shd w:val="clear" w:color="auto" w:fill="auto"/>
          </w:tcPr>
          <w:p w:rsidR="00AF1D88" w:rsidRPr="00FC3B11" w:rsidRDefault="00AF1D88" w:rsidP="00AF1D88">
            <w:pPr>
              <w:jc w:val="both"/>
              <w:rPr>
                <w:b/>
                <w:sz w:val="18"/>
                <w:szCs w:val="18"/>
                <w:lang w:val="ru-RU"/>
              </w:rPr>
            </w:pPr>
            <w:r w:rsidRPr="00AF1D88">
              <w:rPr>
                <w:sz w:val="18"/>
                <w:szCs w:val="18"/>
                <w:lang w:val="ru-RU"/>
              </w:rPr>
              <w:lastRenderedPageBreak/>
              <w:t>8.1. Третьими лицами по настоящему Договору являются пациенты Застрахованных лиц, которым оказывается врачебная (медицинская) помощь,</w:t>
            </w:r>
            <w:r w:rsidRPr="00AF1D88">
              <w:rPr>
                <w:lang w:val="ru-RU"/>
              </w:rPr>
              <w:t xml:space="preserve"> </w:t>
            </w:r>
            <w:r w:rsidRPr="00AF1D88">
              <w:rPr>
                <w:sz w:val="18"/>
                <w:szCs w:val="18"/>
                <w:lang w:val="ru-RU"/>
              </w:rPr>
              <w:t xml:space="preserve">а также иные лица в </w:t>
            </w:r>
            <w:proofErr w:type="gramStart"/>
            <w:r w:rsidRPr="00AF1D88">
              <w:rPr>
                <w:sz w:val="18"/>
                <w:szCs w:val="18"/>
                <w:lang w:val="ru-RU"/>
              </w:rPr>
              <w:t>случаях</w:t>
            </w:r>
            <w:proofErr w:type="gramEnd"/>
            <w:r w:rsidRPr="00AF1D88">
              <w:rPr>
                <w:sz w:val="18"/>
                <w:szCs w:val="18"/>
                <w:lang w:val="ru-RU"/>
              </w:rPr>
              <w:t>, предусмотренных настоящим Договором и (или) Правилами страхования.</w:t>
            </w:r>
          </w:p>
        </w:tc>
      </w:tr>
      <w:tr w:rsidR="00AF1D88" w:rsidRPr="00904829" w:rsidTr="00AF1D88">
        <w:tc>
          <w:tcPr>
            <w:tcW w:w="9322" w:type="dxa"/>
            <w:shd w:val="clear" w:color="auto" w:fill="auto"/>
          </w:tcPr>
          <w:p w:rsidR="00AF1D88" w:rsidRPr="00AF1D88" w:rsidRDefault="00AF1D88" w:rsidP="00AF1D88">
            <w:pPr>
              <w:ind w:left="33"/>
              <w:jc w:val="both"/>
              <w:rPr>
                <w:sz w:val="18"/>
                <w:szCs w:val="18"/>
                <w:lang w:val="ru-RU"/>
              </w:rPr>
            </w:pPr>
            <w:r w:rsidRPr="00AF1D88">
              <w:rPr>
                <w:sz w:val="18"/>
                <w:szCs w:val="18"/>
                <w:lang w:val="ru-RU"/>
              </w:rPr>
              <w:t xml:space="preserve">9.1. С </w:t>
            </w:r>
            <w:r w:rsidRPr="00AF1D88">
              <w:rPr>
                <w:b/>
                <w:sz w:val="18"/>
                <w:szCs w:val="18"/>
                <w:lang w:val="ru-RU"/>
              </w:rPr>
              <w:t>«12» марта 2019 года</w:t>
            </w:r>
            <w:r w:rsidRPr="00AF1D88">
              <w:rPr>
                <w:sz w:val="18"/>
                <w:szCs w:val="18"/>
                <w:lang w:val="ru-RU"/>
              </w:rPr>
              <w:t xml:space="preserve"> по </w:t>
            </w:r>
            <w:r w:rsidRPr="00AF1D88">
              <w:rPr>
                <w:b/>
                <w:sz w:val="18"/>
                <w:szCs w:val="18"/>
                <w:lang w:val="ru-RU"/>
              </w:rPr>
              <w:t xml:space="preserve">«11» марта 2020 года, </w:t>
            </w:r>
            <w:r w:rsidRPr="00AF1D88">
              <w:rPr>
                <w:sz w:val="18"/>
                <w:szCs w:val="18"/>
                <w:lang w:val="ru-RU"/>
              </w:rPr>
              <w:t xml:space="preserve">обе даты включительно, при условии оплаты страховой премии в порядке, предусмотренном настоящим Договором. </w:t>
            </w:r>
          </w:p>
          <w:p w:rsidR="00AF1D88" w:rsidRPr="00FC3B11" w:rsidRDefault="00AF1D88" w:rsidP="00FC3B11">
            <w:pPr>
              <w:ind w:left="33"/>
              <w:jc w:val="both"/>
              <w:rPr>
                <w:sz w:val="18"/>
                <w:szCs w:val="18"/>
                <w:lang w:val="ru-RU"/>
              </w:rPr>
            </w:pPr>
            <w:r w:rsidRPr="00AF1D88">
              <w:rPr>
                <w:sz w:val="18"/>
                <w:szCs w:val="18"/>
                <w:lang w:val="ru-RU"/>
              </w:rPr>
              <w:t>Настоящий Договор покрывает исключительно требования (имущественные претензии) о возмещении вреда, заявленные в течение Периода страхования.</w:t>
            </w:r>
          </w:p>
        </w:tc>
      </w:tr>
      <w:tr w:rsidR="00AF1D88" w:rsidRPr="00904829" w:rsidTr="00AF1D88">
        <w:tc>
          <w:tcPr>
            <w:tcW w:w="9322" w:type="dxa"/>
            <w:shd w:val="clear" w:color="auto" w:fill="auto"/>
          </w:tcPr>
          <w:p w:rsidR="00AF1D88" w:rsidRPr="00AF1D88" w:rsidRDefault="00AF1D88" w:rsidP="00AF1D88">
            <w:pPr>
              <w:ind w:left="33"/>
              <w:jc w:val="both"/>
              <w:rPr>
                <w:sz w:val="18"/>
                <w:szCs w:val="18"/>
                <w:lang w:val="ru-RU"/>
              </w:rPr>
            </w:pPr>
            <w:r w:rsidRPr="00AF1D88">
              <w:rPr>
                <w:sz w:val="18"/>
                <w:szCs w:val="18"/>
                <w:lang w:val="ru-RU"/>
              </w:rPr>
              <w:t xml:space="preserve">13.1. Лимит ответственности Страховщика по настоящему Договору по всем страховым случаям (страховая сумма) устанавливается в размере </w:t>
            </w:r>
            <w:r w:rsidRPr="00AF1D88">
              <w:rPr>
                <w:b/>
                <w:sz w:val="18"/>
                <w:szCs w:val="18"/>
                <w:lang w:val="ru-RU"/>
              </w:rPr>
              <w:t>10 000 000,00</w:t>
            </w:r>
            <w:r w:rsidRPr="00AF1D88">
              <w:rPr>
                <w:sz w:val="18"/>
                <w:szCs w:val="18"/>
                <w:lang w:val="ru-RU"/>
              </w:rPr>
              <w:t xml:space="preserve"> (Десять миллионов) рублей, в том числе:</w:t>
            </w:r>
          </w:p>
          <w:p w:rsidR="00AF1D88" w:rsidRPr="00AF1D88" w:rsidRDefault="00AF1D88" w:rsidP="00AF1D88">
            <w:pPr>
              <w:ind w:left="33"/>
              <w:jc w:val="both"/>
              <w:rPr>
                <w:sz w:val="18"/>
                <w:szCs w:val="18"/>
                <w:lang w:val="ru-RU"/>
              </w:rPr>
            </w:pPr>
            <w:r w:rsidRPr="00AF1D88">
              <w:rPr>
                <w:sz w:val="18"/>
                <w:szCs w:val="18"/>
                <w:lang w:val="ru-RU"/>
              </w:rPr>
              <w:t xml:space="preserve">13.1.1. Лимит ответственности Страховщика в отношении каждого Застрахованного лица, указанного в Приложении № 1 к настоящему Договору устанавливается в размере </w:t>
            </w:r>
            <w:r w:rsidRPr="00AF1D88">
              <w:rPr>
                <w:b/>
                <w:sz w:val="18"/>
                <w:szCs w:val="18"/>
                <w:lang w:val="ru-RU"/>
              </w:rPr>
              <w:t>200 000</w:t>
            </w:r>
            <w:r w:rsidRPr="00AF1D88">
              <w:rPr>
                <w:sz w:val="18"/>
                <w:szCs w:val="18"/>
                <w:lang w:val="ru-RU"/>
              </w:rPr>
              <w:t xml:space="preserve"> (Двести тысяч) рублей, в том числе:</w:t>
            </w:r>
          </w:p>
          <w:p w:rsidR="00AF1D88" w:rsidRPr="00AF1D88" w:rsidRDefault="00AF1D88" w:rsidP="00AF1D88">
            <w:pPr>
              <w:ind w:left="33"/>
              <w:jc w:val="both"/>
              <w:rPr>
                <w:sz w:val="18"/>
                <w:szCs w:val="18"/>
                <w:lang w:val="ru-RU"/>
              </w:rPr>
            </w:pPr>
            <w:r w:rsidRPr="00AF1D88">
              <w:rPr>
                <w:sz w:val="18"/>
                <w:szCs w:val="18"/>
                <w:lang w:val="ru-RU"/>
              </w:rPr>
              <w:t xml:space="preserve">13.1.1.1. Лимит ответственности Страховщика в отношении возмещения морального вреда устанавливается в размере </w:t>
            </w:r>
            <w:r w:rsidRPr="00AF1D88">
              <w:rPr>
                <w:b/>
                <w:sz w:val="18"/>
                <w:szCs w:val="18"/>
                <w:lang w:val="ru-RU"/>
              </w:rPr>
              <w:t>100 000</w:t>
            </w:r>
            <w:r w:rsidRPr="00AF1D88">
              <w:rPr>
                <w:sz w:val="18"/>
                <w:szCs w:val="18"/>
                <w:lang w:val="ru-RU"/>
              </w:rPr>
              <w:t xml:space="preserve"> (Сто тысяч) рублей.</w:t>
            </w:r>
          </w:p>
          <w:p w:rsidR="00AF1D88" w:rsidRPr="00AF1D88" w:rsidRDefault="00AF1D88" w:rsidP="00AF1D88">
            <w:pPr>
              <w:ind w:left="33"/>
              <w:jc w:val="both"/>
              <w:rPr>
                <w:sz w:val="18"/>
                <w:szCs w:val="18"/>
                <w:lang w:val="ru-RU"/>
              </w:rPr>
            </w:pPr>
            <w:r w:rsidRPr="00AF1D88">
              <w:rPr>
                <w:sz w:val="18"/>
                <w:szCs w:val="18"/>
                <w:lang w:val="ru-RU"/>
              </w:rPr>
              <w:t xml:space="preserve">13.1.2. Лимит ответственности Страховщика в отношении Расходов на защиту (в соответствии с п.7.1.2. настоящего Договора) устанавливается в размере </w:t>
            </w:r>
            <w:r w:rsidRPr="00AF1D88">
              <w:rPr>
                <w:b/>
                <w:sz w:val="18"/>
                <w:szCs w:val="18"/>
                <w:lang w:val="ru-RU"/>
              </w:rPr>
              <w:t>200 000,00</w:t>
            </w:r>
            <w:r w:rsidRPr="00AF1D88">
              <w:rPr>
                <w:sz w:val="18"/>
                <w:szCs w:val="18"/>
                <w:lang w:val="ru-RU"/>
              </w:rPr>
              <w:t xml:space="preserve"> (Двести тысяч) рублей.</w:t>
            </w:r>
          </w:p>
          <w:p w:rsidR="00AF1D88" w:rsidRPr="00AF1D88" w:rsidRDefault="00AF1D88" w:rsidP="00FC3B11">
            <w:pPr>
              <w:ind w:left="33"/>
              <w:jc w:val="both"/>
              <w:rPr>
                <w:sz w:val="18"/>
                <w:szCs w:val="18"/>
                <w:lang w:val="ru-RU"/>
              </w:rPr>
            </w:pPr>
            <w:r w:rsidRPr="00AF1D88">
              <w:rPr>
                <w:sz w:val="18"/>
                <w:szCs w:val="18"/>
                <w:lang w:val="ru-RU"/>
              </w:rPr>
              <w:t>13.2. После выплаты страхового возмещения страховая сумма по настоящему Договору уменьшается на размер произведенной страховой выплаты. Страхователь имеет право на восстановление страховой суммы после выплаты Страховщиком страхового возмещения. Восстановление страховой суммы осуществляется путем заключения Дополнительного соглашения к настоящему Договору и уплаты дополнительной страховой премии, рассчитанной Страховщиком</w:t>
            </w:r>
          </w:p>
        </w:tc>
      </w:tr>
      <w:tr w:rsidR="00AF1D88" w:rsidRPr="00904829" w:rsidTr="00AF1D88">
        <w:tc>
          <w:tcPr>
            <w:tcW w:w="9322" w:type="dxa"/>
            <w:shd w:val="clear" w:color="auto" w:fill="auto"/>
          </w:tcPr>
          <w:p w:rsidR="00AF1D88" w:rsidRPr="00AF1D88" w:rsidRDefault="00AF1D88" w:rsidP="00AF1D88">
            <w:pPr>
              <w:ind w:left="33"/>
              <w:jc w:val="both"/>
              <w:rPr>
                <w:sz w:val="18"/>
                <w:szCs w:val="18"/>
                <w:lang w:val="ru-RU"/>
              </w:rPr>
            </w:pPr>
            <w:r w:rsidRPr="00AF1D88">
              <w:rPr>
                <w:sz w:val="18"/>
                <w:szCs w:val="18"/>
                <w:lang w:val="ru-RU"/>
              </w:rPr>
              <w:t xml:space="preserve">15.1. Размер страховой премии по настоящему Договору составляет </w:t>
            </w:r>
            <w:r w:rsidRPr="00FC3B11">
              <w:rPr>
                <w:b/>
                <w:sz w:val="18"/>
                <w:szCs w:val="18"/>
                <w:lang w:val="ru-RU"/>
              </w:rPr>
              <w:t>372 500</w:t>
            </w:r>
            <w:r w:rsidRPr="00AF1D88">
              <w:rPr>
                <w:sz w:val="18"/>
                <w:szCs w:val="18"/>
                <w:lang w:val="ru-RU"/>
              </w:rPr>
              <w:t xml:space="preserve"> (Триста семьдесят две тысячи пятьсот) рублей за период страхования. </w:t>
            </w:r>
          </w:p>
          <w:p w:rsidR="00AF1D88" w:rsidRPr="00AF1D88" w:rsidRDefault="00AF1D88" w:rsidP="00AF1D88">
            <w:pPr>
              <w:ind w:left="33"/>
              <w:jc w:val="both"/>
              <w:rPr>
                <w:sz w:val="18"/>
                <w:szCs w:val="18"/>
                <w:lang w:val="ru-RU"/>
              </w:rPr>
            </w:pPr>
          </w:p>
        </w:tc>
      </w:tr>
    </w:tbl>
    <w:p w:rsidR="00904829" w:rsidRPr="00904829" w:rsidRDefault="00904829" w:rsidP="00904829">
      <w:pPr>
        <w:spacing w:line="312" w:lineRule="auto"/>
        <w:rPr>
          <w:rFonts w:cs="Times New Roman"/>
          <w:b/>
          <w:sz w:val="26"/>
          <w:szCs w:val="26"/>
          <w:lang w:val="ru-RU"/>
        </w:rPr>
      </w:pPr>
    </w:p>
    <w:p w:rsidR="00EC69D9" w:rsidRPr="00EC69D9" w:rsidRDefault="00EC69D9" w:rsidP="00EC69D9">
      <w:pPr>
        <w:spacing w:line="312" w:lineRule="auto"/>
        <w:ind w:firstLine="720"/>
        <w:jc w:val="center"/>
        <w:rPr>
          <w:rFonts w:cs="Times New Roman"/>
          <w:b/>
          <w:sz w:val="26"/>
          <w:szCs w:val="26"/>
          <w:lang w:val="ru-RU"/>
        </w:rPr>
      </w:pPr>
      <w:r w:rsidRPr="00EC69D9">
        <w:rPr>
          <w:rFonts w:cs="Times New Roman"/>
          <w:b/>
          <w:sz w:val="26"/>
          <w:szCs w:val="26"/>
          <w:lang w:val="ru-RU"/>
        </w:rPr>
        <w:t>Финансовый отчет.</w:t>
      </w:r>
    </w:p>
    <w:p w:rsidR="00EC69D9" w:rsidRPr="00EC69D9" w:rsidRDefault="00EC69D9" w:rsidP="00EC69D9">
      <w:pPr>
        <w:spacing w:before="240" w:line="312" w:lineRule="auto"/>
        <w:ind w:firstLine="720"/>
        <w:jc w:val="both"/>
        <w:rPr>
          <w:rFonts w:cs="Times New Roman"/>
          <w:sz w:val="26"/>
          <w:szCs w:val="26"/>
          <w:lang w:val="ru-RU"/>
        </w:rPr>
      </w:pPr>
      <w:r w:rsidRPr="00EC69D9">
        <w:rPr>
          <w:rFonts w:cs="Times New Roman"/>
          <w:sz w:val="26"/>
          <w:szCs w:val="26"/>
          <w:lang w:val="ru-RU"/>
        </w:rPr>
        <w:t>Собираемость взносов по итогам 2018 года значительно увеличилась, по сравнению с 2018 годом и составила 43%</w:t>
      </w:r>
    </w:p>
    <w:p w:rsidR="00EC69D9" w:rsidRPr="00EC69D9" w:rsidRDefault="00EC69D9" w:rsidP="00EC69D9">
      <w:pPr>
        <w:spacing w:line="312" w:lineRule="auto"/>
        <w:ind w:firstLine="720"/>
        <w:jc w:val="both"/>
        <w:rPr>
          <w:rFonts w:cs="Times New Roman"/>
          <w:sz w:val="26"/>
          <w:szCs w:val="26"/>
          <w:lang w:val="ru-RU"/>
        </w:rPr>
      </w:pPr>
      <w:r w:rsidRPr="00EC69D9">
        <w:rPr>
          <w:rFonts w:cs="Times New Roman"/>
          <w:sz w:val="26"/>
          <w:szCs w:val="26"/>
          <w:lang w:val="ru-RU"/>
        </w:rPr>
        <w:t>Следует отметить, что 10% от суммы общих взносов всех членов ассоциации – перечисляется в Национальную медицинскую палату. Сумма по данному платежу при полной собираемости членских взносов д</w:t>
      </w:r>
      <w:r w:rsidR="00EA0954">
        <w:rPr>
          <w:rFonts w:cs="Times New Roman"/>
          <w:sz w:val="26"/>
          <w:szCs w:val="26"/>
          <w:lang w:val="ru-RU"/>
        </w:rPr>
        <w:t>олжна составлять за 2018 год 186</w:t>
      </w:r>
      <w:r w:rsidRPr="00EC69D9">
        <w:rPr>
          <w:rFonts w:cs="Times New Roman"/>
          <w:sz w:val="26"/>
          <w:szCs w:val="26"/>
        </w:rPr>
        <w:t> </w:t>
      </w:r>
      <w:r w:rsidR="00EA0954">
        <w:rPr>
          <w:rFonts w:cs="Times New Roman"/>
          <w:sz w:val="26"/>
          <w:szCs w:val="26"/>
          <w:lang w:val="ru-RU"/>
        </w:rPr>
        <w:t>240 руб. (1552</w:t>
      </w:r>
      <w:r w:rsidRPr="00EC69D9">
        <w:rPr>
          <w:rFonts w:cs="Times New Roman"/>
          <w:sz w:val="26"/>
          <w:szCs w:val="26"/>
          <w:lang w:val="ru-RU"/>
        </w:rPr>
        <w:t xml:space="preserve"> членов*1200 </w:t>
      </w:r>
      <w:proofErr w:type="spellStart"/>
      <w:r w:rsidRPr="00EC69D9">
        <w:rPr>
          <w:rFonts w:cs="Times New Roman"/>
          <w:sz w:val="26"/>
          <w:szCs w:val="26"/>
          <w:lang w:val="ru-RU"/>
        </w:rPr>
        <w:t>руб</w:t>
      </w:r>
      <w:proofErr w:type="spellEnd"/>
      <w:r w:rsidRPr="00EC69D9">
        <w:rPr>
          <w:rFonts w:cs="Times New Roman"/>
          <w:sz w:val="26"/>
          <w:szCs w:val="26"/>
          <w:lang w:val="ru-RU"/>
        </w:rPr>
        <w:t xml:space="preserve">*10%). </w:t>
      </w:r>
    </w:p>
    <w:tbl>
      <w:tblPr>
        <w:tblW w:w="9452" w:type="dxa"/>
        <w:tblCellMar>
          <w:left w:w="10" w:type="dxa"/>
          <w:right w:w="10" w:type="dxa"/>
        </w:tblCellMar>
        <w:tblLook w:val="0000" w:firstRow="0" w:lastRow="0" w:firstColumn="0" w:lastColumn="0" w:noHBand="0" w:noVBand="0"/>
      </w:tblPr>
      <w:tblGrid>
        <w:gridCol w:w="2566"/>
        <w:gridCol w:w="3522"/>
        <w:gridCol w:w="3364"/>
      </w:tblGrid>
      <w:tr w:rsidR="00EC69D9" w:rsidRPr="00EC69D9" w:rsidTr="00DC72AA">
        <w:trPr>
          <w:trHeight w:val="212"/>
        </w:trPr>
        <w:tc>
          <w:tcPr>
            <w:tcW w:w="2566"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lang w:val="ru-RU"/>
              </w:rPr>
            </w:pPr>
            <w:r w:rsidRPr="00EC69D9">
              <w:rPr>
                <w:rFonts w:eastAsia="Times New Roman" w:cs="Times New Roman"/>
                <w:sz w:val="26"/>
                <w:szCs w:val="26"/>
                <w:lang w:eastAsia="ru-RU" w:bidi="ar-SA"/>
              </w:rPr>
              <w:t> </w:t>
            </w:r>
          </w:p>
        </w:tc>
        <w:tc>
          <w:tcPr>
            <w:tcW w:w="3522"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Поступления</w:t>
            </w:r>
          </w:p>
        </w:tc>
        <w:tc>
          <w:tcPr>
            <w:tcW w:w="3364"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Расходы</w:t>
            </w:r>
          </w:p>
        </w:tc>
      </w:tr>
      <w:tr w:rsidR="00EC69D9" w:rsidRPr="00EC69D9" w:rsidTr="00DC72AA">
        <w:trPr>
          <w:trHeight w:val="367"/>
        </w:trPr>
        <w:tc>
          <w:tcPr>
            <w:tcW w:w="2566"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2014</w:t>
            </w:r>
          </w:p>
        </w:tc>
        <w:tc>
          <w:tcPr>
            <w:tcW w:w="3522"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spacing w:after="120"/>
              <w:jc w:val="center"/>
              <w:textAlignment w:val="auto"/>
              <w:rPr>
                <w:rFonts w:cs="Times New Roman"/>
                <w:sz w:val="26"/>
                <w:szCs w:val="26"/>
              </w:rPr>
            </w:pPr>
            <w:r w:rsidRPr="00EC69D9">
              <w:rPr>
                <w:rFonts w:eastAsia="Times New Roman" w:cs="Times New Roman"/>
                <w:sz w:val="26"/>
                <w:szCs w:val="26"/>
                <w:lang w:val="ru-RU" w:eastAsia="ru-RU" w:bidi="ar-SA"/>
              </w:rPr>
              <w:t>122 600</w:t>
            </w:r>
          </w:p>
        </w:tc>
        <w:tc>
          <w:tcPr>
            <w:tcW w:w="3364"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113 644</w:t>
            </w:r>
          </w:p>
        </w:tc>
      </w:tr>
      <w:tr w:rsidR="00EC69D9" w:rsidRPr="00EC69D9" w:rsidTr="00DC72AA">
        <w:trPr>
          <w:trHeight w:val="367"/>
        </w:trPr>
        <w:tc>
          <w:tcPr>
            <w:tcW w:w="2566"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2015</w:t>
            </w:r>
          </w:p>
        </w:tc>
        <w:tc>
          <w:tcPr>
            <w:tcW w:w="3522"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425 700</w:t>
            </w:r>
          </w:p>
        </w:tc>
        <w:tc>
          <w:tcPr>
            <w:tcW w:w="3364"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336 662</w:t>
            </w:r>
          </w:p>
        </w:tc>
      </w:tr>
      <w:tr w:rsidR="00EC69D9" w:rsidRPr="00EC69D9" w:rsidTr="00DC72AA">
        <w:trPr>
          <w:trHeight w:val="367"/>
        </w:trPr>
        <w:tc>
          <w:tcPr>
            <w:tcW w:w="2566"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2016</w:t>
            </w:r>
          </w:p>
        </w:tc>
        <w:tc>
          <w:tcPr>
            <w:tcW w:w="3522"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499 880</w:t>
            </w:r>
          </w:p>
        </w:tc>
        <w:tc>
          <w:tcPr>
            <w:tcW w:w="3364"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606DE6" w:rsidP="00DC72AA">
            <w:pPr>
              <w:widowControl/>
              <w:suppressAutoHyphens w:val="0"/>
              <w:jc w:val="center"/>
              <w:textAlignment w:val="auto"/>
              <w:rPr>
                <w:rFonts w:cs="Times New Roman"/>
                <w:sz w:val="26"/>
                <w:szCs w:val="26"/>
              </w:rPr>
            </w:pPr>
            <w:r>
              <w:rPr>
                <w:rFonts w:eastAsia="Times New Roman" w:cs="Times New Roman"/>
                <w:sz w:val="26"/>
                <w:szCs w:val="26"/>
                <w:lang w:val="ru-RU" w:eastAsia="ru-RU" w:bidi="ar-SA"/>
              </w:rPr>
              <w:t>39</w:t>
            </w:r>
            <w:r w:rsidR="00EC69D9" w:rsidRPr="00EC69D9">
              <w:rPr>
                <w:rFonts w:eastAsia="Times New Roman" w:cs="Times New Roman"/>
                <w:sz w:val="26"/>
                <w:szCs w:val="26"/>
                <w:lang w:val="ru-RU" w:eastAsia="ru-RU" w:bidi="ar-SA"/>
              </w:rPr>
              <w:t>2 567</w:t>
            </w:r>
          </w:p>
        </w:tc>
      </w:tr>
      <w:tr w:rsidR="00EC69D9" w:rsidRPr="00EC69D9" w:rsidTr="00DC72AA">
        <w:trPr>
          <w:trHeight w:val="367"/>
        </w:trPr>
        <w:tc>
          <w:tcPr>
            <w:tcW w:w="2566"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2017</w:t>
            </w:r>
          </w:p>
        </w:tc>
        <w:tc>
          <w:tcPr>
            <w:tcW w:w="3522"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cs="Times New Roman"/>
                <w:sz w:val="26"/>
                <w:szCs w:val="26"/>
              </w:rPr>
            </w:pPr>
            <w:r w:rsidRPr="00EC69D9">
              <w:rPr>
                <w:rFonts w:eastAsia="Times New Roman" w:cs="Times New Roman"/>
                <w:sz w:val="26"/>
                <w:szCs w:val="26"/>
                <w:lang w:val="ru-RU" w:eastAsia="ru-RU" w:bidi="ar-SA"/>
              </w:rPr>
              <w:t>380 100</w:t>
            </w:r>
          </w:p>
        </w:tc>
        <w:tc>
          <w:tcPr>
            <w:tcW w:w="3364"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8512F9" w:rsidP="00DC72AA">
            <w:pPr>
              <w:widowControl/>
              <w:suppressAutoHyphens w:val="0"/>
              <w:jc w:val="center"/>
              <w:textAlignment w:val="auto"/>
              <w:rPr>
                <w:rFonts w:cs="Times New Roman"/>
                <w:sz w:val="26"/>
                <w:szCs w:val="26"/>
              </w:rPr>
            </w:pPr>
            <w:r>
              <w:rPr>
                <w:rFonts w:eastAsia="Times New Roman" w:cs="Times New Roman"/>
                <w:sz w:val="26"/>
                <w:szCs w:val="26"/>
                <w:lang w:val="ru-RU" w:eastAsia="ru-RU" w:bidi="ar-SA"/>
              </w:rPr>
              <w:t>32</w:t>
            </w:r>
            <w:r w:rsidR="00EC69D9" w:rsidRPr="00EC69D9">
              <w:rPr>
                <w:rFonts w:eastAsia="Times New Roman" w:cs="Times New Roman"/>
                <w:sz w:val="26"/>
                <w:szCs w:val="26"/>
                <w:lang w:val="ru-RU" w:eastAsia="ru-RU" w:bidi="ar-SA"/>
              </w:rPr>
              <w:t>5 200</w:t>
            </w:r>
          </w:p>
        </w:tc>
      </w:tr>
      <w:tr w:rsidR="00EC69D9" w:rsidRPr="00EC69D9" w:rsidTr="00DC72AA">
        <w:trPr>
          <w:trHeight w:val="367"/>
        </w:trPr>
        <w:tc>
          <w:tcPr>
            <w:tcW w:w="2566"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eastAsia="Times New Roman" w:cs="Times New Roman"/>
                <w:sz w:val="26"/>
                <w:szCs w:val="26"/>
                <w:lang w:val="ru-RU" w:eastAsia="ru-RU" w:bidi="ar-SA"/>
              </w:rPr>
            </w:pPr>
            <w:r w:rsidRPr="00EC69D9">
              <w:rPr>
                <w:rFonts w:eastAsia="Times New Roman" w:cs="Times New Roman"/>
                <w:sz w:val="26"/>
                <w:szCs w:val="26"/>
                <w:lang w:val="ru-RU" w:eastAsia="ru-RU" w:bidi="ar-SA"/>
              </w:rPr>
              <w:t>2018</w:t>
            </w:r>
          </w:p>
        </w:tc>
        <w:tc>
          <w:tcPr>
            <w:tcW w:w="3522"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EC69D9" w:rsidP="00DC72AA">
            <w:pPr>
              <w:widowControl/>
              <w:suppressAutoHyphens w:val="0"/>
              <w:jc w:val="center"/>
              <w:textAlignment w:val="auto"/>
              <w:rPr>
                <w:rFonts w:eastAsia="Times New Roman" w:cs="Times New Roman"/>
                <w:sz w:val="26"/>
                <w:szCs w:val="26"/>
                <w:lang w:eastAsia="ru-RU" w:bidi="ar-SA"/>
              </w:rPr>
            </w:pPr>
            <w:r w:rsidRPr="00EC69D9">
              <w:rPr>
                <w:rFonts w:eastAsia="Times New Roman" w:cs="Times New Roman"/>
                <w:sz w:val="26"/>
                <w:szCs w:val="26"/>
                <w:lang w:eastAsia="ru-RU" w:bidi="ar-SA"/>
              </w:rPr>
              <w:t>793 483</w:t>
            </w:r>
          </w:p>
        </w:tc>
        <w:tc>
          <w:tcPr>
            <w:tcW w:w="3364" w:type="dxa"/>
            <w:tcBorders>
              <w:top w:val="single" w:sz="8" w:space="0" w:color="FFFFFF"/>
              <w:left w:val="single" w:sz="8" w:space="0" w:color="FFFFFF"/>
              <w:bottom w:val="single" w:sz="8" w:space="0" w:color="FFFFFF"/>
              <w:right w:val="single" w:sz="8" w:space="0" w:color="FFFFFF"/>
            </w:tcBorders>
            <w:shd w:val="clear" w:color="auto" w:fill="E7F1FA"/>
            <w:tcMar>
              <w:top w:w="55" w:type="dxa"/>
              <w:left w:w="55" w:type="dxa"/>
              <w:bottom w:w="55" w:type="dxa"/>
              <w:right w:w="55" w:type="dxa"/>
            </w:tcMar>
          </w:tcPr>
          <w:p w:rsidR="00EC69D9" w:rsidRPr="00EC69D9" w:rsidRDefault="00DF70A7" w:rsidP="00DC72AA">
            <w:pPr>
              <w:widowControl/>
              <w:suppressAutoHyphens w:val="0"/>
              <w:jc w:val="center"/>
              <w:textAlignment w:val="auto"/>
              <w:rPr>
                <w:rFonts w:eastAsia="Times New Roman" w:cs="Times New Roman"/>
                <w:sz w:val="26"/>
                <w:szCs w:val="26"/>
                <w:lang w:eastAsia="ru-RU" w:bidi="ar-SA"/>
              </w:rPr>
            </w:pPr>
            <w:r>
              <w:rPr>
                <w:rFonts w:eastAsia="Times New Roman" w:cs="Times New Roman"/>
                <w:sz w:val="26"/>
                <w:szCs w:val="26"/>
                <w:lang w:eastAsia="ru-RU" w:bidi="ar-SA"/>
              </w:rPr>
              <w:t>5</w:t>
            </w:r>
            <w:r>
              <w:rPr>
                <w:rFonts w:eastAsia="Times New Roman" w:cs="Times New Roman"/>
                <w:sz w:val="26"/>
                <w:szCs w:val="26"/>
                <w:lang w:val="ru-RU" w:eastAsia="ru-RU" w:bidi="ar-SA"/>
              </w:rPr>
              <w:t>6</w:t>
            </w:r>
            <w:r w:rsidR="00EC69D9" w:rsidRPr="00EC69D9">
              <w:rPr>
                <w:rFonts w:eastAsia="Times New Roman" w:cs="Times New Roman"/>
                <w:sz w:val="26"/>
                <w:szCs w:val="26"/>
                <w:lang w:eastAsia="ru-RU" w:bidi="ar-SA"/>
              </w:rPr>
              <w:t>3 656</w:t>
            </w:r>
          </w:p>
        </w:tc>
      </w:tr>
    </w:tbl>
    <w:p w:rsidR="00FE7866" w:rsidRDefault="00FE7866" w:rsidP="00AF1D88">
      <w:pPr>
        <w:ind w:firstLine="567"/>
        <w:jc w:val="both"/>
        <w:rPr>
          <w:lang w:val="ru-RU"/>
        </w:rPr>
      </w:pPr>
    </w:p>
    <w:p w:rsidR="00904829" w:rsidRDefault="00904829" w:rsidP="00AF1D88">
      <w:pPr>
        <w:ind w:firstLine="567"/>
        <w:jc w:val="both"/>
        <w:rPr>
          <w:lang w:val="ru-RU"/>
        </w:rPr>
      </w:pPr>
    </w:p>
    <w:p w:rsidR="00904829" w:rsidRDefault="00904829" w:rsidP="00AF1D88">
      <w:pPr>
        <w:ind w:firstLine="567"/>
        <w:jc w:val="both"/>
        <w:rPr>
          <w:i/>
          <w:sz w:val="20"/>
          <w:szCs w:val="20"/>
          <w:lang w:val="ru-RU"/>
        </w:rPr>
      </w:pPr>
    </w:p>
    <w:p w:rsidR="00904829" w:rsidRDefault="00904829" w:rsidP="00AF1D88">
      <w:pPr>
        <w:ind w:firstLine="567"/>
        <w:jc w:val="both"/>
        <w:rPr>
          <w:i/>
          <w:sz w:val="20"/>
          <w:szCs w:val="20"/>
          <w:lang w:val="ru-RU"/>
        </w:rPr>
      </w:pPr>
    </w:p>
    <w:p w:rsidR="00904829" w:rsidRDefault="00904829" w:rsidP="00AF1D88">
      <w:pPr>
        <w:ind w:firstLine="567"/>
        <w:jc w:val="both"/>
        <w:rPr>
          <w:i/>
          <w:sz w:val="20"/>
          <w:szCs w:val="20"/>
          <w:lang w:val="ru-RU"/>
        </w:rPr>
      </w:pPr>
    </w:p>
    <w:p w:rsidR="00904829" w:rsidRDefault="00904829" w:rsidP="00AF1D88">
      <w:pPr>
        <w:ind w:firstLine="567"/>
        <w:jc w:val="both"/>
        <w:rPr>
          <w:i/>
          <w:sz w:val="20"/>
          <w:szCs w:val="20"/>
          <w:lang w:val="ru-RU"/>
        </w:rPr>
      </w:pPr>
    </w:p>
    <w:p w:rsidR="00904829" w:rsidRDefault="00904829" w:rsidP="00AF1D88">
      <w:pPr>
        <w:ind w:firstLine="567"/>
        <w:jc w:val="both"/>
        <w:rPr>
          <w:i/>
          <w:sz w:val="20"/>
          <w:szCs w:val="20"/>
          <w:lang w:val="ru-RU"/>
        </w:rPr>
      </w:pPr>
    </w:p>
    <w:p w:rsidR="00904829" w:rsidRDefault="00904829" w:rsidP="00AF1D88">
      <w:pPr>
        <w:ind w:firstLine="567"/>
        <w:jc w:val="both"/>
        <w:rPr>
          <w:i/>
          <w:sz w:val="20"/>
          <w:szCs w:val="20"/>
          <w:lang w:val="ru-RU"/>
        </w:rPr>
      </w:pPr>
    </w:p>
    <w:p w:rsidR="00904829" w:rsidRPr="00904829" w:rsidRDefault="00904829" w:rsidP="00AF1D88">
      <w:pPr>
        <w:ind w:firstLine="567"/>
        <w:jc w:val="both"/>
        <w:rPr>
          <w:i/>
          <w:sz w:val="20"/>
          <w:szCs w:val="20"/>
          <w:lang w:val="ru-RU"/>
        </w:rPr>
      </w:pPr>
      <w:r w:rsidRPr="00904829">
        <w:rPr>
          <w:i/>
          <w:sz w:val="20"/>
          <w:szCs w:val="20"/>
          <w:lang w:val="ru-RU"/>
        </w:rPr>
        <w:t>Исполнительный директор О.Ю. Прокошева</w:t>
      </w:r>
    </w:p>
    <w:sectPr w:rsidR="00904829" w:rsidRPr="00904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25"/>
    <w:rsid w:val="001F0825"/>
    <w:rsid w:val="001F66A5"/>
    <w:rsid w:val="00606DE6"/>
    <w:rsid w:val="00766F27"/>
    <w:rsid w:val="007C2E91"/>
    <w:rsid w:val="008512F9"/>
    <w:rsid w:val="00866FCD"/>
    <w:rsid w:val="008F4C26"/>
    <w:rsid w:val="00904829"/>
    <w:rsid w:val="0095422F"/>
    <w:rsid w:val="0095556F"/>
    <w:rsid w:val="009A7C8C"/>
    <w:rsid w:val="00AA6283"/>
    <w:rsid w:val="00AF1D88"/>
    <w:rsid w:val="00D065E6"/>
    <w:rsid w:val="00DF70A7"/>
    <w:rsid w:val="00E731CC"/>
    <w:rsid w:val="00EA0954"/>
    <w:rsid w:val="00EC69D9"/>
    <w:rsid w:val="00FC3B11"/>
    <w:rsid w:val="00FE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6FC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6FC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6FC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6FC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Юрьевна Прокошева</dc:creator>
  <cp:keywords/>
  <dc:description/>
  <cp:lastModifiedBy>Ольга Юрьевна Прокошева</cp:lastModifiedBy>
  <cp:revision>17</cp:revision>
  <dcterms:created xsi:type="dcterms:W3CDTF">2019-04-08T06:39:00Z</dcterms:created>
  <dcterms:modified xsi:type="dcterms:W3CDTF">2019-04-08T14:11:00Z</dcterms:modified>
</cp:coreProperties>
</file>